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781"/>
          <w:tab w:val="right" w:pos="13323"/>
        </w:tabs>
        <w:spacing w:before="60" w:after="60"/>
        <w:ind w:left="482" w:hanging="482" w:hangingChars="200"/>
        <w:outlineLvl w:val="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4                                </w:t>
      </w:r>
      <w:r>
        <w:rPr>
          <w:rFonts w:ascii="Arial" w:hAnsi="Arial" w:eastAsia="宋体" w:cs="Arial"/>
          <w:b/>
          <w:sz w:val="24"/>
          <w:szCs w:val="24"/>
          <w:lang w:eastAsia="zh-CN"/>
        </w:rPr>
        <w:t>R4-2</w:t>
      </w:r>
      <w:r>
        <w:rPr>
          <w:rFonts w:hint="eastAsia" w:eastAsia="宋体" w:cs="Arial"/>
          <w:b/>
          <w:sz w:val="24"/>
          <w:szCs w:val="24"/>
          <w:lang w:val="en-US" w:eastAsia="zh-CN"/>
        </w:rPr>
        <w:t>501175</w:t>
      </w:r>
      <w:bookmarkStart w:id="5" w:name="_GoBack"/>
      <w:bookmarkEnd w:id="5"/>
      <w:r>
        <w:rPr>
          <w:rFonts w:hint="eastAsia" w:eastAsia="宋体" w:cs="Arial"/>
          <w:b/>
          <w:sz w:val="24"/>
          <w:szCs w:val="24"/>
          <w:lang w:val="en-US" w:eastAsia="zh-CN"/>
        </w:rPr>
        <w:t xml:space="preserve">                                                                             </w:t>
      </w:r>
    </w:p>
    <w:p>
      <w:pPr>
        <w:pStyle w:val="27"/>
        <w:tabs>
          <w:tab w:val="right" w:pos="9781"/>
          <w:tab w:val="right" w:pos="13323"/>
        </w:tabs>
        <w:spacing w:before="60" w:after="60"/>
        <w:outlineLvl w:val="0"/>
        <w:rPr>
          <w:rFonts w:hint="default" w:ascii="Arial" w:hAnsi="Arial" w:eastAsia="宋体" w:cs="Arial"/>
          <w:b/>
          <w:sz w:val="24"/>
          <w:szCs w:val="24"/>
          <w:lang w:val="en-US" w:eastAsia="zh-CN"/>
        </w:rPr>
      </w:pPr>
      <w:r>
        <w:rPr>
          <w:rFonts w:hint="eastAsia" w:eastAsia="宋体" w:cs="Arial"/>
          <w:b/>
          <w:sz w:val="24"/>
          <w:szCs w:val="24"/>
          <w:lang w:val="en-US" w:eastAsia="zh-CN"/>
        </w:rPr>
        <w:t>Athens</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Greece</w:t>
      </w:r>
      <w:r>
        <w:rPr>
          <w:rFonts w:ascii="Arial" w:hAnsi="Arial" w:eastAsia="宋体" w:cs="Arial"/>
          <w:b/>
          <w:sz w:val="24"/>
          <w:szCs w:val="24"/>
          <w:lang w:eastAsia="zh-CN"/>
        </w:rPr>
        <w:t xml:space="preserve">, </w:t>
      </w:r>
      <w:r>
        <w:rPr>
          <w:rFonts w:hint="eastAsia" w:eastAsia="宋体" w:cs="Arial"/>
          <w:b/>
          <w:sz w:val="24"/>
          <w:szCs w:val="24"/>
          <w:lang w:val="en-US" w:eastAsia="zh-CN"/>
        </w:rPr>
        <w:t>17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21</w:t>
      </w:r>
      <w:r>
        <w:rPr>
          <w:rFonts w:hint="eastAsia" w:eastAsia="宋体" w:cs="Arial"/>
          <w:b/>
          <w:sz w:val="24"/>
          <w:szCs w:val="24"/>
          <w:vertAlign w:val="superscript"/>
          <w:lang w:val="en-US" w:eastAsia="zh-CN"/>
        </w:rPr>
        <w:t>st</w:t>
      </w:r>
      <w:r>
        <w:rPr>
          <w:rFonts w:ascii="Arial" w:hAnsi="Arial" w:eastAsia="宋体" w:cs="Arial"/>
          <w:b/>
          <w:sz w:val="24"/>
          <w:szCs w:val="24"/>
          <w:lang w:eastAsia="zh-CN"/>
        </w:rPr>
        <w:t xml:space="preserve"> </w:t>
      </w:r>
      <w:r>
        <w:rPr>
          <w:rFonts w:hint="eastAsia" w:eastAsia="宋体" w:cs="Arial"/>
          <w:b/>
          <w:sz w:val="24"/>
          <w:szCs w:val="24"/>
          <w:lang w:val="en-US" w:eastAsia="zh-CN"/>
        </w:rPr>
        <w:t>February</w:t>
      </w:r>
      <w:r>
        <w:rPr>
          <w:rFonts w:ascii="Arial" w:hAnsi="Arial" w:eastAsia="宋体" w:cs="Arial"/>
          <w:b/>
          <w:sz w:val="24"/>
          <w:szCs w:val="24"/>
          <w:lang w:eastAsia="zh-CN"/>
        </w:rPr>
        <w:t>, 202</w:t>
      </w:r>
      <w:r>
        <w:rPr>
          <w:rFonts w:hint="eastAsia" w:eastAsia="宋体" w:cs="Arial"/>
          <w:b/>
          <w:sz w:val="24"/>
          <w:szCs w:val="24"/>
          <w:lang w:val="en-US" w:eastAsia="zh-CN"/>
        </w:rPr>
        <w:t>5</w:t>
      </w:r>
    </w:p>
    <w:p>
      <w:pPr>
        <w:tabs>
          <w:tab w:val="left" w:pos="3106"/>
          <w:tab w:val="center" w:pos="4536"/>
          <w:tab w:val="right" w:pos="9072"/>
        </w:tabs>
        <w:jc w:val="both"/>
        <w:rPr>
          <w:rFonts w:hint="eastAsia" w:ascii="Arial" w:hAnsi="Arial" w:eastAsia="宋体"/>
          <w:b/>
          <w:color w:val="auto"/>
          <w:sz w:val="24"/>
          <w:lang w:val="en-US" w:eastAsia="ja-JP"/>
        </w:rPr>
      </w:pPr>
    </w:p>
    <w:p>
      <w:pPr>
        <w:tabs>
          <w:tab w:val="left" w:pos="1985"/>
        </w:tabs>
        <w:ind w:left="1985" w:hanging="1985"/>
        <w:rPr>
          <w:rFonts w:hint="default"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Ku bands for NR NTN</w:t>
      </w:r>
    </w:p>
    <w:p>
      <w:pPr>
        <w:tabs>
          <w:tab w:val="left" w:pos="1985"/>
        </w:tabs>
        <w:spacing w:after="120" w:line="240" w:lineRule="auto"/>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7.11.6</w:t>
      </w:r>
    </w:p>
    <w:p>
      <w:pPr>
        <w:tabs>
          <w:tab w:val="left" w:pos="1985"/>
        </w:tabs>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7"/>
        <w:rPr>
          <w:lang w:val="en-US"/>
        </w:rPr>
      </w:pPr>
      <w:r>
        <w:rPr>
          <w:lang w:val="en-US"/>
        </w:rPr>
        <w:t>Intro</w:t>
      </w:r>
      <w:r>
        <w:rPr>
          <w:rStyle w:val="78"/>
          <w:lang w:val="en-US"/>
        </w:rPr>
        <w:t>ductio</w:t>
      </w:r>
      <w:r>
        <w:rPr>
          <w:lang w:val="en-US"/>
        </w:rPr>
        <w:t>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ind w:leftChars="0"/>
        <w:jc w:val="both"/>
        <w:textAlignment w:val="baseline"/>
        <w:rPr>
          <w:rFonts w:hint="eastAsia" w:ascii="Times New Roman" w:hAnsi="Times New Roman" w:eastAsia="宋体" w:cs="Times New Roman"/>
          <w:sz w:val="22"/>
          <w:lang w:val="en-US" w:eastAsia="zh-CN"/>
        </w:rPr>
      </w:pPr>
      <w:r>
        <w:rPr>
          <w:rFonts w:hint="eastAsia" w:eastAsia="宋体"/>
          <w:sz w:val="22"/>
          <w:szCs w:val="20"/>
          <w:lang w:val="en-US" w:eastAsia="zh-CN"/>
        </w:rPr>
        <w:t>At RAN #106 meeting the revised WI “</w:t>
      </w:r>
      <w:r>
        <w:rPr>
          <w:rFonts w:hint="eastAsia" w:eastAsia="宋体"/>
          <w:sz w:val="22"/>
          <w:lang w:val="en-US" w:eastAsia="zh-CN"/>
        </w:rPr>
        <w:t>Introduction of Ku bands for NR NTN</w:t>
      </w:r>
      <w:r>
        <w:rPr>
          <w:rFonts w:hint="eastAsia" w:eastAsia="宋体"/>
          <w:sz w:val="22"/>
          <w:szCs w:val="20"/>
          <w:lang w:val="en-US" w:eastAsia="zh-CN"/>
        </w:rPr>
        <w:t xml:space="preserve">” [1] was approved.  In the WID, Ku bands have been introduced for NR NTN with the mobile VSAT UE. </w:t>
      </w:r>
      <w:r>
        <w:rPr>
          <w:rFonts w:hint="eastAsia" w:eastAsia="宋体" w:cs="Times New Roman"/>
          <w:sz w:val="22"/>
          <w:lang w:val="en-US" w:eastAsia="zh-CN"/>
        </w:rPr>
        <w:t>In #114 meeting we will specify the scenarios and general view on the topics</w:t>
      </w:r>
      <w:r>
        <w:rPr>
          <w:rFonts w:hint="eastAsia" w:ascii="Times New Roman" w:hAnsi="Times New Roman" w:eastAsia="宋体" w:cs="Times New Roman"/>
          <w:sz w:val="22"/>
          <w:lang w:val="en-US" w:eastAsia="zh-CN"/>
        </w:rPr>
        <w:t xml:space="preserve">. </w:t>
      </w:r>
    </w:p>
    <w:p>
      <w:pPr>
        <w:pStyle w:val="77"/>
        <w:rPr>
          <w:rFonts w:hint="eastAsia"/>
          <w:lang w:val="en-US" w:eastAsia="zh-CN"/>
        </w:rPr>
      </w:pPr>
      <w:r>
        <w:rPr>
          <w:lang w:val="en-US"/>
        </w:rPr>
        <w:t>Discussion</w:t>
      </w:r>
    </w:p>
    <w:p>
      <w:pPr>
        <w:pStyle w:val="79"/>
        <w:numPr>
          <w:ilvl w:val="1"/>
          <w:numId w:val="0"/>
        </w:numPr>
        <w:bidi w:val="0"/>
        <w:rPr>
          <w:rFonts w:hint="eastAsia"/>
          <w:lang w:val="en-US" w:eastAsia="zh-CN"/>
        </w:rPr>
      </w:pPr>
      <w:r>
        <w:rPr>
          <w:rFonts w:hint="eastAsia"/>
          <w:lang w:val="en-US" w:eastAsia="zh-CN"/>
        </w:rPr>
        <w:t>2.1 NR-NTN deployment on Ku bands</w:t>
      </w:r>
    </w:p>
    <w:p>
      <w:pPr>
        <w:rPr>
          <w:rFonts w:hint="default"/>
          <w:lang w:val="en-US" w:eastAsia="zh-CN"/>
        </w:rPr>
      </w:pPr>
      <w:r>
        <w:rPr>
          <w:rFonts w:hint="eastAsia"/>
          <w:lang w:val="en-US" w:eastAsia="zh-CN"/>
        </w:rPr>
        <w:t>In current WID description, RAN4</w:t>
      </w:r>
      <w:r>
        <w:rPr>
          <w:rFonts w:hint="default"/>
          <w:lang w:val="en-US" w:eastAsia="zh-CN"/>
        </w:rPr>
        <w:t>’</w:t>
      </w:r>
      <w:r>
        <w:rPr>
          <w:rFonts w:hint="eastAsia"/>
          <w:lang w:val="en-US" w:eastAsia="zh-CN"/>
        </w:rPr>
        <w:t>s work could be seen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bCs/>
                <w:sz w:val="20"/>
                <w:szCs w:val="20"/>
                <w:lang w:val="en-US"/>
              </w:rPr>
            </w:pPr>
            <w:r>
              <w:rPr>
                <w:rFonts w:hint="default" w:ascii="Times New Roman" w:hAnsi="Times New Roman" w:eastAsia="PMingLiU" w:cs="Times New Roman"/>
                <w:iCs/>
                <w:kern w:val="0"/>
                <w:sz w:val="20"/>
                <w:szCs w:val="20"/>
                <w:lang w:val="en-US" w:eastAsia="zh-CN" w:bidi="ar"/>
              </w:rPr>
              <w:t>The objectives are:</w:t>
            </w:r>
          </w:p>
          <w:p>
            <w:pPr>
              <w:keepNext w:val="0"/>
              <w:keepLines w:val="0"/>
              <w:widowControl/>
              <w:numPr>
                <w:ilvl w:val="0"/>
                <w:numId w:val="3"/>
              </w:numPr>
              <w:suppressLineNumbers w:val="0"/>
              <w:tabs>
                <w:tab w:val="left" w:pos="720"/>
              </w:tabs>
              <w:overflowPunct w:val="0"/>
              <w:autoSpaceDE w:val="0"/>
              <w:autoSpaceDN w:val="0"/>
              <w:adjustRightInd w:val="0"/>
              <w:spacing w:before="0" w:beforeAutospacing="0" w:after="0" w:afterAutospacing="0"/>
              <w:ind w:left="720" w:right="0" w:hanging="360"/>
              <w:jc w:val="both"/>
              <w:rPr>
                <w:rFonts w:hint="default" w:ascii="Times New Roman" w:hAnsi="Times New Roman" w:eastAsia="PMingLiU" w:cs="Times New Roman"/>
                <w:bCs/>
                <w:sz w:val="20"/>
                <w:szCs w:val="20"/>
                <w:lang w:val="en-US" w:eastAsia="en-US"/>
              </w:rPr>
            </w:pPr>
            <w:r>
              <w:rPr>
                <w:rFonts w:hint="default" w:ascii="Times New Roman" w:hAnsi="Times New Roman" w:eastAsia="PMingLiU" w:cs="Times New Roman"/>
                <w:bCs/>
                <w:sz w:val="20"/>
                <w:szCs w:val="20"/>
                <w:lang w:val="en-US" w:eastAsia="en-US"/>
              </w:rPr>
              <w:t>Use the regulation requirements in ITU Regions 1, 2 and 3 to identify relevant adjacent band co-existence scenarios for NTN Ku Band covering the following frequency ranges, considering targeted deployment scenarios:</w:t>
            </w:r>
          </w:p>
          <w:p>
            <w:pPr>
              <w:keepNext w:val="0"/>
              <w:keepLines w:val="0"/>
              <w:widowControl/>
              <w:numPr>
                <w:ilvl w:val="1"/>
                <w:numId w:val="3"/>
              </w:numPr>
              <w:suppressLineNumbers w:val="0"/>
              <w:tabs>
                <w:tab w:val="left" w:pos="1440"/>
              </w:tabs>
              <w:overflowPunct w:val="0"/>
              <w:autoSpaceDE w:val="0"/>
              <w:autoSpaceDN w:val="0"/>
              <w:adjustRightInd w:val="0"/>
              <w:spacing w:before="0" w:beforeAutospacing="0" w:after="0" w:afterAutospacing="0"/>
              <w:ind w:left="1440" w:right="0" w:hanging="360"/>
              <w:jc w:val="both"/>
              <w:rPr>
                <w:rFonts w:hint="default" w:ascii="Times New Roman" w:hAnsi="Times New Roman" w:eastAsia="PMingLiU" w:cs="Times New Roman"/>
                <w:bCs/>
                <w:sz w:val="20"/>
                <w:szCs w:val="20"/>
                <w:lang w:val="en-US" w:eastAsia="en-US"/>
              </w:rPr>
            </w:pPr>
            <w:r>
              <w:rPr>
                <w:rFonts w:hint="default" w:ascii="Times New Roman" w:hAnsi="Times New Roman" w:eastAsia="PMingLiU" w:cs="Times New Roman"/>
                <w:bCs/>
                <w:sz w:val="20"/>
                <w:szCs w:val="20"/>
                <w:lang w:val="en-US" w:eastAsia="en-US"/>
              </w:rPr>
              <w:t>For ITU regions 1 and 3:</w:t>
            </w:r>
          </w:p>
          <w:p>
            <w:pPr>
              <w:keepNext w:val="0"/>
              <w:keepLines w:val="0"/>
              <w:widowControl/>
              <w:numPr>
                <w:ilvl w:val="2"/>
                <w:numId w:val="3"/>
              </w:numPr>
              <w:suppressLineNumbers w:val="0"/>
              <w:tabs>
                <w:tab w:val="left" w:pos="2160"/>
              </w:tabs>
              <w:overflowPunct w:val="0"/>
              <w:autoSpaceDE w:val="0"/>
              <w:autoSpaceDN w:val="0"/>
              <w:adjustRightInd w:val="0"/>
              <w:spacing w:before="0" w:beforeAutospacing="0" w:after="0" w:afterAutospacing="0"/>
              <w:ind w:left="2160" w:right="0" w:hanging="360"/>
              <w:jc w:val="both"/>
              <w:rPr>
                <w:rFonts w:hint="default" w:ascii="Times New Roman" w:hAnsi="Times New Roman" w:eastAsia="PMingLiU" w:cs="Times New Roman"/>
                <w:bCs/>
                <w:sz w:val="20"/>
                <w:szCs w:val="20"/>
                <w:lang w:val="en-US" w:eastAsia="en-US"/>
              </w:rPr>
            </w:pPr>
            <w:r>
              <w:rPr>
                <w:rFonts w:hint="default" w:ascii="Times New Roman" w:hAnsi="Times New Roman" w:eastAsia="PMingLiU" w:cs="Times New Roman"/>
                <w:bCs/>
                <w:sz w:val="20"/>
                <w:szCs w:val="20"/>
                <w:lang w:val="en-US" w:eastAsia="en-US"/>
              </w:rPr>
              <w:t>Downlink 10.70 – 12.75 GHz</w:t>
            </w:r>
          </w:p>
          <w:p>
            <w:pPr>
              <w:keepNext w:val="0"/>
              <w:keepLines w:val="0"/>
              <w:widowControl/>
              <w:numPr>
                <w:ilvl w:val="2"/>
                <w:numId w:val="3"/>
              </w:numPr>
              <w:suppressLineNumbers w:val="0"/>
              <w:tabs>
                <w:tab w:val="left" w:pos="2160"/>
              </w:tabs>
              <w:overflowPunct w:val="0"/>
              <w:autoSpaceDE w:val="0"/>
              <w:autoSpaceDN w:val="0"/>
              <w:adjustRightInd w:val="0"/>
              <w:spacing w:before="0" w:beforeAutospacing="0" w:after="0" w:afterAutospacing="0"/>
              <w:ind w:left="2160" w:right="0" w:hanging="360"/>
              <w:jc w:val="both"/>
              <w:rPr>
                <w:rFonts w:hint="default" w:ascii="Times New Roman" w:hAnsi="Times New Roman" w:eastAsia="PMingLiU" w:cs="Times New Roman"/>
                <w:bCs/>
                <w:sz w:val="20"/>
                <w:szCs w:val="20"/>
                <w:lang w:val="en-US" w:eastAsia="en-US"/>
              </w:rPr>
            </w:pPr>
            <w:r>
              <w:rPr>
                <w:rFonts w:hint="default" w:ascii="Times New Roman" w:hAnsi="Times New Roman" w:eastAsia="PMingLiU" w:cs="Times New Roman"/>
                <w:bCs/>
                <w:sz w:val="20"/>
                <w:szCs w:val="20"/>
                <w:lang w:val="en-US" w:eastAsia="en-US"/>
              </w:rPr>
              <w:t>Uplink 13.75-14.5 GHz</w:t>
            </w:r>
          </w:p>
          <w:p>
            <w:pPr>
              <w:keepNext w:val="0"/>
              <w:keepLines w:val="0"/>
              <w:widowControl/>
              <w:numPr>
                <w:ilvl w:val="1"/>
                <w:numId w:val="3"/>
              </w:numPr>
              <w:suppressLineNumbers w:val="0"/>
              <w:tabs>
                <w:tab w:val="left" w:pos="1440"/>
              </w:tabs>
              <w:overflowPunct w:val="0"/>
              <w:autoSpaceDE w:val="0"/>
              <w:autoSpaceDN w:val="0"/>
              <w:adjustRightInd w:val="0"/>
              <w:spacing w:before="0" w:beforeAutospacing="0" w:after="0" w:afterAutospacing="0"/>
              <w:ind w:left="1440" w:right="0" w:hanging="360"/>
              <w:jc w:val="both"/>
              <w:rPr>
                <w:rFonts w:hint="default" w:ascii="Times New Roman" w:hAnsi="Times New Roman" w:eastAsia="PMingLiU" w:cs="Times New Roman"/>
                <w:bCs/>
                <w:sz w:val="20"/>
                <w:szCs w:val="20"/>
                <w:lang w:val="en-US" w:eastAsia="en-US"/>
              </w:rPr>
            </w:pPr>
            <w:r>
              <w:rPr>
                <w:rFonts w:hint="default" w:ascii="Times New Roman" w:hAnsi="Times New Roman" w:eastAsia="PMingLiU" w:cs="Times New Roman"/>
                <w:bCs/>
                <w:sz w:val="20"/>
                <w:szCs w:val="20"/>
                <w:lang w:val="en-US" w:eastAsia="en-US"/>
              </w:rPr>
              <w:t>For ITU regions 2</w:t>
            </w:r>
            <w:r>
              <w:rPr>
                <w:rFonts w:hint="default" w:ascii="Times New Roman" w:hAnsi="Times New Roman" w:eastAsia="PMingLiU" w:cs="Times New Roman"/>
                <w:sz w:val="20"/>
                <w:szCs w:val="20"/>
                <w:lang w:val="en-US" w:eastAsia="en-US"/>
              </w:rPr>
              <w:t xml:space="preserve"> (The US is in scope for the WI using the current allocation of the Ku band. The band introduction in specification is pending FCC decision)</w:t>
            </w:r>
            <w:r>
              <w:rPr>
                <w:rFonts w:hint="default" w:ascii="Times New Roman" w:hAnsi="Times New Roman" w:eastAsia="PMingLiU" w:cs="Times New Roman"/>
                <w:bCs/>
                <w:sz w:val="20"/>
                <w:szCs w:val="20"/>
                <w:lang w:val="en-US" w:eastAsia="en-US"/>
              </w:rPr>
              <w:t>:</w:t>
            </w:r>
          </w:p>
          <w:p>
            <w:pPr>
              <w:keepNext w:val="0"/>
              <w:keepLines w:val="0"/>
              <w:widowControl/>
              <w:numPr>
                <w:ilvl w:val="2"/>
                <w:numId w:val="3"/>
              </w:numPr>
              <w:suppressLineNumbers w:val="0"/>
              <w:tabs>
                <w:tab w:val="left" w:pos="2160"/>
              </w:tabs>
              <w:overflowPunct w:val="0"/>
              <w:autoSpaceDE w:val="0"/>
              <w:autoSpaceDN w:val="0"/>
              <w:adjustRightInd w:val="0"/>
              <w:spacing w:before="0" w:beforeAutospacing="0" w:after="0" w:afterAutospacing="0"/>
              <w:ind w:left="2160" w:right="0" w:hanging="360"/>
              <w:jc w:val="both"/>
              <w:rPr>
                <w:rFonts w:hint="default" w:ascii="Times New Roman" w:hAnsi="Times New Roman" w:eastAsia="PMingLiU" w:cs="Times New Roman"/>
                <w:bCs/>
                <w:sz w:val="20"/>
                <w:szCs w:val="20"/>
                <w:lang w:val="en-US" w:eastAsia="en-US"/>
              </w:rPr>
            </w:pPr>
            <w:r>
              <w:rPr>
                <w:rFonts w:hint="default" w:ascii="Times New Roman" w:hAnsi="Times New Roman" w:eastAsia="PMingLiU" w:cs="Times New Roman"/>
                <w:bCs/>
                <w:sz w:val="20"/>
                <w:szCs w:val="20"/>
                <w:lang w:val="en-US" w:eastAsia="en-US"/>
              </w:rPr>
              <w:t>Downlink 10.70 – 12.70 GHz</w:t>
            </w:r>
          </w:p>
          <w:p>
            <w:pPr>
              <w:keepNext w:val="0"/>
              <w:keepLines w:val="0"/>
              <w:widowControl/>
              <w:numPr>
                <w:ilvl w:val="2"/>
                <w:numId w:val="3"/>
              </w:numPr>
              <w:suppressLineNumbers w:val="0"/>
              <w:tabs>
                <w:tab w:val="left" w:pos="2160"/>
              </w:tabs>
              <w:overflowPunct w:val="0"/>
              <w:autoSpaceDE w:val="0"/>
              <w:autoSpaceDN w:val="0"/>
              <w:adjustRightInd w:val="0"/>
              <w:spacing w:before="0" w:beforeAutospacing="0" w:after="0" w:afterAutospacing="0"/>
              <w:ind w:left="2160" w:right="0" w:hanging="360"/>
              <w:jc w:val="both"/>
              <w:rPr>
                <w:rFonts w:hint="default" w:ascii="Times New Roman" w:hAnsi="Times New Roman" w:eastAsia="PMingLiU" w:cs="Times New Roman"/>
                <w:bCs/>
                <w:sz w:val="20"/>
                <w:szCs w:val="20"/>
                <w:lang w:val="en-US" w:eastAsia="en-US"/>
              </w:rPr>
            </w:pPr>
            <w:r>
              <w:rPr>
                <w:rFonts w:hint="default" w:ascii="Times New Roman" w:hAnsi="Times New Roman" w:eastAsia="PMingLiU" w:cs="Times New Roman"/>
                <w:bCs/>
                <w:sz w:val="20"/>
                <w:szCs w:val="20"/>
                <w:lang w:val="en-US" w:eastAsia="en-US"/>
              </w:rPr>
              <w:t>Uplink 13.75-14.5 GHz</w:t>
            </w:r>
          </w:p>
          <w:p>
            <w:pPr>
              <w:keepNext w:val="0"/>
              <w:keepLines w:val="0"/>
              <w:widowControl/>
              <w:numPr>
                <w:ilvl w:val="1"/>
                <w:numId w:val="3"/>
              </w:numPr>
              <w:suppressLineNumbers w:val="0"/>
              <w:tabs>
                <w:tab w:val="left" w:pos="1440"/>
              </w:tabs>
              <w:overflowPunct w:val="0"/>
              <w:autoSpaceDE w:val="0"/>
              <w:autoSpaceDN w:val="0"/>
              <w:adjustRightInd w:val="0"/>
              <w:spacing w:before="0" w:beforeAutospacing="0" w:after="0" w:afterAutospacing="0"/>
              <w:ind w:left="1440" w:right="0" w:hanging="360"/>
              <w:jc w:val="both"/>
              <w:rPr>
                <w:rFonts w:hint="default" w:ascii="Times New Roman" w:hAnsi="Times New Roman" w:eastAsia="PMingLiU" w:cs="Times New Roman"/>
                <w:bCs/>
                <w:sz w:val="20"/>
                <w:szCs w:val="20"/>
                <w:lang w:val="en-US" w:eastAsia="en-US"/>
              </w:rPr>
            </w:pPr>
            <w:r>
              <w:rPr>
                <w:rFonts w:hint="default" w:ascii="Times New Roman" w:hAnsi="Times New Roman" w:eastAsia="PMingLiU" w:cs="Times New Roman"/>
                <w:bCs/>
                <w:sz w:val="20"/>
                <w:szCs w:val="20"/>
                <w:lang w:val="en-US" w:eastAsia="en-US"/>
              </w:rPr>
              <w:t>For ITU regions 1 and 3</w:t>
            </w:r>
          </w:p>
          <w:p>
            <w:pPr>
              <w:keepNext w:val="0"/>
              <w:keepLines w:val="0"/>
              <w:widowControl/>
              <w:numPr>
                <w:ilvl w:val="2"/>
                <w:numId w:val="3"/>
              </w:numPr>
              <w:suppressLineNumbers w:val="0"/>
              <w:tabs>
                <w:tab w:val="left" w:pos="2160"/>
              </w:tabs>
              <w:overflowPunct w:val="0"/>
              <w:autoSpaceDE w:val="0"/>
              <w:autoSpaceDN w:val="0"/>
              <w:adjustRightInd w:val="0"/>
              <w:spacing w:before="0" w:beforeAutospacing="0" w:after="0" w:afterAutospacing="0"/>
              <w:ind w:left="2160" w:right="0" w:hanging="360"/>
              <w:jc w:val="both"/>
              <w:rPr>
                <w:rFonts w:hint="default" w:ascii="Times New Roman" w:hAnsi="Times New Roman" w:eastAsia="PMingLiU" w:cs="Times New Roman"/>
                <w:bCs/>
                <w:sz w:val="20"/>
                <w:szCs w:val="20"/>
                <w:lang w:val="en-US" w:eastAsia="en-US"/>
              </w:rPr>
            </w:pPr>
            <w:r>
              <w:rPr>
                <w:rFonts w:hint="default" w:ascii="Times New Roman" w:hAnsi="Times New Roman" w:eastAsia="PMingLiU" w:cs="Times New Roman"/>
                <w:bCs/>
                <w:sz w:val="20"/>
                <w:szCs w:val="20"/>
                <w:lang w:val="en-US" w:eastAsia="en-US"/>
              </w:rPr>
              <w:t>Downlink 10.70 – 12.75 GHz</w:t>
            </w:r>
          </w:p>
          <w:p>
            <w:pPr>
              <w:keepNext w:val="0"/>
              <w:keepLines w:val="0"/>
              <w:widowControl/>
              <w:numPr>
                <w:ilvl w:val="2"/>
                <w:numId w:val="3"/>
              </w:numPr>
              <w:suppressLineNumbers w:val="0"/>
              <w:tabs>
                <w:tab w:val="left" w:pos="2160"/>
              </w:tabs>
              <w:overflowPunct w:val="0"/>
              <w:autoSpaceDE w:val="0"/>
              <w:autoSpaceDN w:val="0"/>
              <w:adjustRightInd w:val="0"/>
              <w:spacing w:before="0" w:beforeAutospacing="0" w:after="0" w:afterAutospacing="0"/>
              <w:ind w:left="2160" w:right="0" w:hanging="360"/>
              <w:jc w:val="both"/>
              <w:rPr>
                <w:rFonts w:hint="default" w:ascii="Times New Roman" w:hAnsi="Times New Roman" w:eastAsia="PMingLiU" w:cs="Times New Roman"/>
                <w:bCs/>
                <w:sz w:val="20"/>
                <w:szCs w:val="20"/>
                <w:lang w:val="en-US" w:eastAsia="en-US"/>
              </w:rPr>
            </w:pPr>
            <w:r>
              <w:rPr>
                <w:rFonts w:hint="default" w:ascii="Times New Roman" w:hAnsi="Times New Roman" w:eastAsia="PMingLiU" w:cs="Times New Roman"/>
                <w:bCs/>
                <w:sz w:val="20"/>
                <w:szCs w:val="20"/>
                <w:lang w:val="en-US" w:eastAsia="en-US"/>
              </w:rPr>
              <w:t>Uplink 12.75 - 13.25 GHz</w:t>
            </w:r>
          </w:p>
          <w:p>
            <w:pPr>
              <w:keepNext w:val="0"/>
              <w:keepLines w:val="0"/>
              <w:widowControl/>
              <w:numPr>
                <w:ilvl w:val="1"/>
                <w:numId w:val="3"/>
              </w:numPr>
              <w:suppressLineNumbers w:val="0"/>
              <w:tabs>
                <w:tab w:val="left" w:pos="1440"/>
              </w:tabs>
              <w:overflowPunct w:val="0"/>
              <w:autoSpaceDE w:val="0"/>
              <w:autoSpaceDN w:val="0"/>
              <w:adjustRightInd w:val="0"/>
              <w:spacing w:before="0" w:beforeAutospacing="0" w:after="0" w:afterAutospacing="0"/>
              <w:ind w:left="1440" w:right="0" w:hanging="360"/>
              <w:jc w:val="both"/>
              <w:rPr>
                <w:rFonts w:hint="default" w:ascii="Times New Roman" w:hAnsi="Times New Roman" w:eastAsia="PMingLiU" w:cs="Times New Roman"/>
                <w:bCs/>
                <w:sz w:val="20"/>
                <w:szCs w:val="20"/>
                <w:lang w:val="en-US" w:eastAsia="en-US"/>
              </w:rPr>
            </w:pPr>
            <w:r>
              <w:rPr>
                <w:rFonts w:hint="default" w:ascii="Times New Roman" w:hAnsi="Times New Roman" w:eastAsia="PMingLiU" w:cs="Times New Roman"/>
                <w:bCs/>
                <w:sz w:val="20"/>
                <w:szCs w:val="20"/>
                <w:lang w:val="en-US" w:eastAsia="en-US"/>
              </w:rPr>
              <w:t xml:space="preserve">For ITU regions 2 </w:t>
            </w:r>
            <w:r>
              <w:rPr>
                <w:rFonts w:hint="default" w:ascii="Times New Roman" w:hAnsi="Times New Roman" w:eastAsia="PMingLiU" w:cs="Times New Roman"/>
                <w:sz w:val="20"/>
                <w:szCs w:val="20"/>
                <w:lang w:val="en-US" w:eastAsia="en-US"/>
              </w:rPr>
              <w:t>(The US is in scope for the WI using the current allocation of the Ku band. The band introduction in specification is pending FCC decision):</w:t>
            </w:r>
          </w:p>
          <w:p>
            <w:pPr>
              <w:keepNext w:val="0"/>
              <w:keepLines w:val="0"/>
              <w:widowControl/>
              <w:numPr>
                <w:ilvl w:val="2"/>
                <w:numId w:val="3"/>
              </w:numPr>
              <w:suppressLineNumbers w:val="0"/>
              <w:tabs>
                <w:tab w:val="left" w:pos="2160"/>
              </w:tabs>
              <w:overflowPunct w:val="0"/>
              <w:autoSpaceDE w:val="0"/>
              <w:autoSpaceDN w:val="0"/>
              <w:adjustRightInd w:val="0"/>
              <w:spacing w:before="0" w:beforeAutospacing="0" w:after="0" w:afterAutospacing="0"/>
              <w:ind w:left="2160" w:right="0" w:hanging="360"/>
              <w:jc w:val="both"/>
              <w:rPr>
                <w:rFonts w:hint="default" w:ascii="Times New Roman" w:hAnsi="Times New Roman" w:eastAsia="PMingLiU" w:cs="Times New Roman"/>
                <w:bCs/>
                <w:sz w:val="20"/>
                <w:szCs w:val="20"/>
                <w:lang w:val="en-US" w:eastAsia="en-US"/>
              </w:rPr>
            </w:pPr>
            <w:r>
              <w:rPr>
                <w:rFonts w:hint="default" w:ascii="Times New Roman" w:hAnsi="Times New Roman" w:eastAsia="PMingLiU" w:cs="Times New Roman"/>
                <w:bCs/>
                <w:sz w:val="20"/>
                <w:szCs w:val="20"/>
                <w:lang w:val="en-US" w:eastAsia="en-US"/>
              </w:rPr>
              <w:t>Downlink 10.70 – 12.70 GHz</w:t>
            </w:r>
          </w:p>
          <w:p>
            <w:pPr>
              <w:keepNext w:val="0"/>
              <w:keepLines w:val="0"/>
              <w:widowControl/>
              <w:numPr>
                <w:ilvl w:val="2"/>
                <w:numId w:val="3"/>
              </w:numPr>
              <w:suppressLineNumbers w:val="0"/>
              <w:tabs>
                <w:tab w:val="left" w:pos="2160"/>
              </w:tabs>
              <w:overflowPunct w:val="0"/>
              <w:autoSpaceDE w:val="0"/>
              <w:autoSpaceDN w:val="0"/>
              <w:adjustRightInd w:val="0"/>
              <w:spacing w:before="0" w:beforeAutospacing="0" w:after="0" w:afterAutospacing="0"/>
              <w:ind w:left="2160" w:right="0" w:hanging="360"/>
              <w:jc w:val="both"/>
              <w:rPr>
                <w:rFonts w:hint="default" w:ascii="Times New Roman" w:hAnsi="Times New Roman" w:eastAsia="PMingLiU" w:cs="Times New Roman"/>
                <w:bCs/>
                <w:sz w:val="20"/>
                <w:szCs w:val="20"/>
                <w:lang w:val="en-US" w:eastAsia="en-US"/>
              </w:rPr>
            </w:pPr>
            <w:r>
              <w:rPr>
                <w:rFonts w:hint="default" w:ascii="Times New Roman" w:hAnsi="Times New Roman" w:eastAsia="PMingLiU" w:cs="Times New Roman"/>
                <w:bCs/>
                <w:sz w:val="20"/>
                <w:szCs w:val="20"/>
                <w:lang w:val="en-US" w:eastAsia="en-US"/>
              </w:rPr>
              <w:t>Uplink 12.70 - 13.25 GHz</w:t>
            </w:r>
          </w:p>
          <w:p>
            <w:pPr>
              <w:keepNext w:val="0"/>
              <w:keepLines w:val="0"/>
              <w:widowControl/>
              <w:numPr>
                <w:ilvl w:val="1"/>
                <w:numId w:val="3"/>
              </w:numPr>
              <w:suppressLineNumbers w:val="0"/>
              <w:tabs>
                <w:tab w:val="left" w:pos="1440"/>
              </w:tabs>
              <w:overflowPunct w:val="0"/>
              <w:autoSpaceDE w:val="0"/>
              <w:autoSpaceDN w:val="0"/>
              <w:adjustRightInd w:val="0"/>
              <w:spacing w:before="0" w:beforeAutospacing="0" w:after="0" w:afterAutospacing="0"/>
              <w:ind w:left="1440" w:right="0" w:hanging="360"/>
              <w:jc w:val="both"/>
              <w:rPr>
                <w:rFonts w:hint="default" w:ascii="Times New Roman" w:hAnsi="Times New Roman" w:eastAsia="PMingLiU" w:cs="Times New Roman"/>
                <w:bCs/>
                <w:sz w:val="20"/>
                <w:szCs w:val="20"/>
                <w:lang w:val="en-US" w:eastAsia="en-US"/>
              </w:rPr>
            </w:pPr>
            <w:r>
              <w:rPr>
                <w:rFonts w:hint="default" w:ascii="Times New Roman" w:hAnsi="Times New Roman" w:eastAsia="PMingLiU" w:cs="Times New Roman"/>
                <w:bCs/>
                <w:sz w:val="20"/>
                <w:szCs w:val="20"/>
                <w:lang w:val="en-US" w:eastAsia="en-US"/>
              </w:rPr>
              <w:t>Note: Appropriate Tx/Rx separation for uplink downlink pairing will be required.</w:t>
            </w:r>
          </w:p>
          <w:p>
            <w:pPr>
              <w:keepNext w:val="0"/>
              <w:keepLines w:val="0"/>
              <w:widowControl/>
              <w:numPr>
                <w:ilvl w:val="0"/>
                <w:numId w:val="3"/>
              </w:numPr>
              <w:suppressLineNumbers w:val="0"/>
              <w:tabs>
                <w:tab w:val="left" w:pos="720"/>
              </w:tabs>
              <w:overflowPunct w:val="0"/>
              <w:autoSpaceDE w:val="0"/>
              <w:autoSpaceDN w:val="0"/>
              <w:adjustRightInd w:val="0"/>
              <w:spacing w:before="0" w:beforeAutospacing="0" w:after="0" w:afterAutospacing="0"/>
              <w:ind w:left="720" w:right="0" w:hanging="360"/>
              <w:jc w:val="both"/>
              <w:rPr>
                <w:rFonts w:hint="default" w:ascii="Times New Roman" w:hAnsi="Times New Roman" w:eastAsia="PMingLiU" w:cs="Times New Roman"/>
                <w:bCs/>
                <w:sz w:val="20"/>
                <w:szCs w:val="20"/>
                <w:lang w:val="en-US" w:eastAsia="en-US"/>
              </w:rPr>
            </w:pPr>
            <w:r>
              <w:rPr>
                <w:rFonts w:hint="default" w:ascii="Times New Roman" w:hAnsi="Times New Roman" w:eastAsia="PMingLiU" w:cs="Times New Roman"/>
                <w:bCs/>
                <w:sz w:val="20"/>
                <w:szCs w:val="20"/>
                <w:lang w:val="en-US" w:eastAsia="en-US"/>
              </w:rPr>
              <w:t>Conduct coexistence study. Reuse Ka band coexistence study assumptions as much as possible, with modifications where necessary, e.g. for coexistence scenario, frequency range and subcarrier spacing. Conduct new co-existence studies based on adjacent services.</w:t>
            </w:r>
          </w:p>
          <w:p>
            <w:pPr>
              <w:keepNext w:val="0"/>
              <w:keepLines w:val="0"/>
              <w:widowControl/>
              <w:numPr>
                <w:ilvl w:val="0"/>
                <w:numId w:val="3"/>
              </w:numPr>
              <w:suppressLineNumbers w:val="0"/>
              <w:tabs>
                <w:tab w:val="left" w:pos="720"/>
              </w:tabs>
              <w:overflowPunct w:val="0"/>
              <w:autoSpaceDE w:val="0"/>
              <w:autoSpaceDN w:val="0"/>
              <w:adjustRightInd w:val="0"/>
              <w:spacing w:before="0" w:beforeAutospacing="0" w:after="0" w:afterAutospacing="0"/>
              <w:ind w:left="720" w:right="0" w:hanging="360"/>
              <w:jc w:val="both"/>
              <w:rPr>
                <w:rFonts w:hint="default" w:ascii="Times New Roman" w:hAnsi="Times New Roman" w:eastAsia="PMingLiU" w:cs="Times New Roman"/>
                <w:bCs/>
                <w:sz w:val="20"/>
                <w:szCs w:val="20"/>
                <w:lang w:val="en-US" w:eastAsia="en-US"/>
              </w:rPr>
            </w:pPr>
            <w:r>
              <w:rPr>
                <w:rFonts w:hint="default" w:ascii="Times New Roman" w:hAnsi="Times New Roman" w:eastAsia="PMingLiU" w:cs="Times New Roman"/>
                <w:bCs/>
                <w:sz w:val="20"/>
                <w:szCs w:val="20"/>
                <w:lang w:val="en-US" w:eastAsia="en-US"/>
              </w:rPr>
              <w:t>Specify RF requirements for mobile VSAT served by NGSO and GSO based on existing mobile VSAT type 5 RF requirements</w:t>
            </w:r>
          </w:p>
          <w:p>
            <w:pPr>
              <w:keepNext w:val="0"/>
              <w:keepLines w:val="0"/>
              <w:widowControl/>
              <w:numPr>
                <w:ilvl w:val="0"/>
                <w:numId w:val="3"/>
              </w:numPr>
              <w:suppressLineNumbers w:val="0"/>
              <w:tabs>
                <w:tab w:val="left" w:pos="720"/>
              </w:tabs>
              <w:overflowPunct w:val="0"/>
              <w:autoSpaceDE w:val="0"/>
              <w:autoSpaceDN w:val="0"/>
              <w:adjustRightInd w:val="0"/>
              <w:spacing w:before="0" w:beforeAutospacing="0" w:after="0" w:afterAutospacing="0"/>
              <w:ind w:left="720" w:right="0" w:hanging="360"/>
              <w:jc w:val="both"/>
              <w:rPr>
                <w:rFonts w:hint="default" w:ascii="Times New Roman" w:hAnsi="Times New Roman" w:eastAsia="PMingLiU" w:cs="Times New Roman"/>
                <w:bCs/>
                <w:sz w:val="20"/>
                <w:szCs w:val="20"/>
                <w:lang w:val="en-US" w:eastAsia="en-US"/>
              </w:rPr>
            </w:pPr>
            <w:r>
              <w:rPr>
                <w:rFonts w:hint="default" w:ascii="Times New Roman" w:hAnsi="Times New Roman" w:eastAsia="PMingLiU" w:cs="Times New Roman"/>
                <w:sz w:val="20"/>
                <w:szCs w:val="20"/>
                <w:lang w:val="en-US" w:eastAsia="en-US"/>
              </w:rPr>
              <w:t>Investigate and if possible specify common FR1 and FR2 radiated RF requirements for Satellite Access Node (SAN) and NTN VSAT types (excluding types 1 to 3) in 38.101-5 also considering existing regulations on antenna sizes for certain parts of the Ku band.</w:t>
            </w:r>
          </w:p>
          <w:p>
            <w:pPr>
              <w:pStyle w:val="29"/>
              <w:keepNext w:val="0"/>
              <w:keepLines w:val="0"/>
              <w:widowControl/>
              <w:numPr>
                <w:ilvl w:val="0"/>
                <w:numId w:val="4"/>
              </w:numPr>
              <w:suppressLineNumbers w:val="0"/>
              <w:overflowPunct/>
              <w:autoSpaceDE/>
              <w:autoSpaceDN w:val="0"/>
              <w:adjustRightInd/>
              <w:spacing w:before="0" w:beforeAutospacing="0" w:after="160" w:afterAutospacing="0" w:line="256" w:lineRule="auto"/>
              <w:ind w:left="720" w:right="0" w:hanging="360"/>
              <w:contextualSpacing/>
              <w:jc w:val="both"/>
              <w:rPr>
                <w:rFonts w:hint="default"/>
                <w:sz w:val="20"/>
                <w:szCs w:val="20"/>
                <w:lang w:val="en-US"/>
              </w:rPr>
            </w:pPr>
            <w:r>
              <w:rPr>
                <w:rFonts w:hint="default"/>
                <w:sz w:val="20"/>
                <w:szCs w:val="20"/>
                <w:lang w:val="en-US"/>
              </w:rPr>
              <w:t>Priority 1: for all ITU regions, define Ku band #1a and #1b for the downlink block and uplink block B. D</w:t>
            </w:r>
            <w:r>
              <w:rPr>
                <w:rFonts w:hint="default"/>
                <w:sz w:val="20"/>
                <w:szCs w:val="20"/>
                <w:lang w:val="en-US" w:eastAsia="zh-TW"/>
              </w:rPr>
              <w:t>efine two sets of bands, one for FR1 numerology and the other for FR2 numerology, including the support of the following:</w:t>
            </w:r>
          </w:p>
          <w:p>
            <w:pPr>
              <w:pStyle w:val="29"/>
              <w:keepNext w:val="0"/>
              <w:keepLines w:val="0"/>
              <w:widowControl/>
              <w:numPr>
                <w:ilvl w:val="1"/>
                <w:numId w:val="4"/>
              </w:numPr>
              <w:suppressLineNumbers w:val="0"/>
              <w:overflowPunct/>
              <w:autoSpaceDE/>
              <w:autoSpaceDN w:val="0"/>
              <w:adjustRightInd/>
              <w:spacing w:before="0" w:beforeAutospacing="0" w:after="160" w:afterAutospacing="0" w:line="256" w:lineRule="auto"/>
              <w:ind w:left="1440" w:right="0" w:hanging="360"/>
              <w:contextualSpacing/>
              <w:jc w:val="both"/>
              <w:rPr>
                <w:rFonts w:hint="default"/>
                <w:sz w:val="20"/>
                <w:szCs w:val="20"/>
                <w:highlight w:val="none"/>
                <w:lang w:val="en-US"/>
              </w:rPr>
            </w:pPr>
            <w:r>
              <w:rPr>
                <w:rFonts w:hint="default"/>
                <w:sz w:val="20"/>
                <w:szCs w:val="20"/>
                <w:lang w:val="en-US"/>
              </w:rPr>
              <w:t>Ku band #1a and #1b as FR1-NTN supporting</w:t>
            </w:r>
            <w:r>
              <w:rPr>
                <w:rFonts w:hint="default"/>
                <w:sz w:val="20"/>
                <w:szCs w:val="20"/>
                <w:lang w:val="en-US" w:eastAsia="zh-TW"/>
              </w:rPr>
              <w:t xml:space="preserve"> </w:t>
            </w:r>
            <w:r>
              <w:rPr>
                <w:rFonts w:hint="default"/>
                <w:sz w:val="20"/>
                <w:szCs w:val="20"/>
                <w:lang w:val="en-US"/>
              </w:rPr>
              <w:t>10 MHz</w:t>
            </w:r>
            <w:r>
              <w:rPr>
                <w:rFonts w:hint="default"/>
                <w:sz w:val="20"/>
                <w:szCs w:val="20"/>
                <w:lang w:val="en-US" w:eastAsia="zh-TW"/>
              </w:rPr>
              <w:t>,</w:t>
            </w:r>
            <w:r>
              <w:rPr>
                <w:rFonts w:hint="default"/>
                <w:sz w:val="20"/>
                <w:szCs w:val="20"/>
                <w:lang w:val="en-US"/>
              </w:rPr>
              <w:t xml:space="preserve"> 20 MHz, 25 MHz, 35 MHz, 50 MHz, 70 MHz and 100 MHz channel bandwidths with </w:t>
            </w:r>
            <w:r>
              <w:rPr>
                <w:rFonts w:hint="default"/>
                <w:sz w:val="20"/>
                <w:szCs w:val="20"/>
                <w:highlight w:val="none"/>
                <w:lang w:val="en-US"/>
              </w:rPr>
              <w:t>30 kHz subcarrier spacing</w:t>
            </w:r>
          </w:p>
          <w:p>
            <w:pPr>
              <w:pStyle w:val="29"/>
              <w:keepNext w:val="0"/>
              <w:keepLines w:val="0"/>
              <w:widowControl/>
              <w:numPr>
                <w:ilvl w:val="1"/>
                <w:numId w:val="4"/>
              </w:numPr>
              <w:suppressLineNumbers w:val="0"/>
              <w:overflowPunct/>
              <w:autoSpaceDE/>
              <w:autoSpaceDN w:val="0"/>
              <w:adjustRightInd/>
              <w:spacing w:before="0" w:beforeAutospacing="0" w:after="160" w:afterAutospacing="0" w:line="256" w:lineRule="auto"/>
              <w:ind w:left="1440" w:right="0" w:hanging="360"/>
              <w:contextualSpacing/>
              <w:jc w:val="both"/>
              <w:rPr>
                <w:rFonts w:hint="default"/>
                <w:sz w:val="20"/>
                <w:szCs w:val="20"/>
                <w:highlight w:val="none"/>
                <w:lang w:val="en-US"/>
              </w:rPr>
            </w:pPr>
            <w:r>
              <w:rPr>
                <w:rFonts w:hint="default"/>
                <w:sz w:val="20"/>
                <w:szCs w:val="20"/>
                <w:highlight w:val="none"/>
                <w:lang w:val="en-US"/>
              </w:rPr>
              <w:t>Ku band #1a and #1b as FR2-NTN supporting 50 MHz, 100 MHz, 200 MHz, 400 MHz (120kHz SCS only) channel bandwidths with 120 kHz subcarrier spacing</w:t>
            </w:r>
            <w:r>
              <w:rPr>
                <w:rFonts w:hint="default"/>
                <w:sz w:val="20"/>
                <w:szCs w:val="20"/>
                <w:highlight w:val="none"/>
                <w:lang w:val="en-US" w:eastAsia="zh-TW"/>
              </w:rPr>
              <w:t>.</w:t>
            </w:r>
          </w:p>
          <w:p>
            <w:pPr>
              <w:pStyle w:val="29"/>
              <w:keepNext w:val="0"/>
              <w:keepLines w:val="0"/>
              <w:widowControl/>
              <w:numPr>
                <w:ilvl w:val="0"/>
                <w:numId w:val="4"/>
              </w:numPr>
              <w:suppressLineNumbers w:val="0"/>
              <w:overflowPunct/>
              <w:autoSpaceDE/>
              <w:autoSpaceDN w:val="0"/>
              <w:adjustRightInd/>
              <w:spacing w:before="0" w:beforeAutospacing="0" w:after="160" w:afterAutospacing="0" w:line="256" w:lineRule="auto"/>
              <w:ind w:left="720" w:right="0" w:hanging="360"/>
              <w:contextualSpacing/>
              <w:jc w:val="both"/>
              <w:rPr>
                <w:rFonts w:hint="default"/>
                <w:sz w:val="20"/>
                <w:szCs w:val="20"/>
                <w:highlight w:val="none"/>
                <w:lang w:val="en-US"/>
              </w:rPr>
            </w:pPr>
            <w:r>
              <w:rPr>
                <w:rFonts w:hint="default"/>
                <w:sz w:val="20"/>
                <w:szCs w:val="20"/>
                <w:highlight w:val="none"/>
                <w:lang w:val="en-US"/>
              </w:rPr>
              <w:t>Priority 2: for all ITU regions excluding the US in region 2, using the approach in Priority 1, define Ku band #2a and #2b as appropriate for the downlink block and uplink block A.</w:t>
            </w:r>
          </w:p>
          <w:p>
            <w:pPr>
              <w:pStyle w:val="29"/>
              <w:keepNext w:val="0"/>
              <w:keepLines w:val="0"/>
              <w:widowControl/>
              <w:numPr>
                <w:ilvl w:val="0"/>
                <w:numId w:val="4"/>
              </w:numPr>
              <w:suppressLineNumbers w:val="0"/>
              <w:overflowPunct/>
              <w:autoSpaceDE/>
              <w:autoSpaceDN w:val="0"/>
              <w:adjustRightInd/>
              <w:spacing w:before="0" w:beforeAutospacing="0" w:after="0" w:afterAutospacing="0" w:line="256" w:lineRule="auto"/>
              <w:ind w:left="720" w:right="0" w:hanging="360"/>
              <w:contextualSpacing/>
              <w:jc w:val="both"/>
              <w:rPr>
                <w:rFonts w:hint="default"/>
                <w:b/>
                <w:bCs w:val="0"/>
                <w:sz w:val="20"/>
                <w:szCs w:val="20"/>
                <w:highlight w:val="yellow"/>
                <w:lang w:val="en-US"/>
              </w:rPr>
            </w:pPr>
            <w:r>
              <w:rPr>
                <w:rFonts w:hint="default"/>
                <w:sz w:val="20"/>
                <w:szCs w:val="20"/>
                <w:highlight w:val="yellow"/>
                <w:lang w:val="en-US"/>
              </w:rPr>
              <w:t xml:space="preserve">Specify RRM requirements including timing requirements for </w:t>
            </w:r>
            <w:r>
              <w:rPr>
                <w:rFonts w:hint="default"/>
                <w:b/>
                <w:bCs w:val="0"/>
                <w:sz w:val="20"/>
                <w:szCs w:val="20"/>
                <w:highlight w:val="yellow"/>
                <w:lang w:val="en-US"/>
              </w:rPr>
              <w:t>mobile VSAT served by NGSO</w:t>
            </w:r>
          </w:p>
          <w:p>
            <w:pPr>
              <w:pStyle w:val="29"/>
              <w:keepNext w:val="0"/>
              <w:keepLines w:val="0"/>
              <w:widowControl/>
              <w:numPr>
                <w:ilvl w:val="1"/>
                <w:numId w:val="4"/>
              </w:numPr>
              <w:suppressLineNumbers w:val="0"/>
              <w:overflowPunct/>
              <w:autoSpaceDE/>
              <w:autoSpaceDN w:val="0"/>
              <w:adjustRightInd/>
              <w:spacing w:before="0" w:beforeAutospacing="0" w:after="0" w:afterAutospacing="0" w:line="256" w:lineRule="auto"/>
              <w:ind w:left="1440" w:right="0" w:hanging="360"/>
              <w:contextualSpacing/>
              <w:jc w:val="both"/>
              <w:rPr>
                <w:rFonts w:hint="default"/>
                <w:sz w:val="20"/>
                <w:szCs w:val="20"/>
                <w:highlight w:val="yellow"/>
                <w:lang w:val="en-US"/>
              </w:rPr>
            </w:pPr>
            <w:r>
              <w:rPr>
                <w:rFonts w:hint="default"/>
                <w:sz w:val="20"/>
                <w:szCs w:val="20"/>
                <w:highlight w:val="yellow"/>
                <w:lang w:val="en-US"/>
              </w:rPr>
              <w:t>NOTE:</w:t>
            </w:r>
            <w:r>
              <w:rPr>
                <w:rFonts w:hint="default"/>
                <w:sz w:val="20"/>
                <w:szCs w:val="20"/>
                <w:highlight w:val="yellow"/>
                <w:lang w:val="en-US"/>
              </w:rPr>
              <w:tab/>
            </w:r>
            <w:r>
              <w:rPr>
                <w:rFonts w:hint="default"/>
                <w:sz w:val="20"/>
                <w:szCs w:val="20"/>
                <w:highlight w:val="yellow"/>
                <w:lang w:val="en-US"/>
              </w:rPr>
              <w:t xml:space="preserve">RRM requirements are defined for VSAT supporting FR1-NTN operation </w:t>
            </w:r>
            <w:r>
              <w:rPr>
                <w:rFonts w:hint="default"/>
                <w:b/>
                <w:bCs w:val="0"/>
                <w:sz w:val="20"/>
                <w:szCs w:val="20"/>
                <w:highlight w:val="yellow"/>
                <w:lang w:val="en-US"/>
              </w:rPr>
              <w:t>only</w:t>
            </w:r>
            <w:r>
              <w:rPr>
                <w:rFonts w:hint="default"/>
                <w:sz w:val="20"/>
                <w:szCs w:val="20"/>
                <w:highlight w:val="yellow"/>
                <w:lang w:val="en-US"/>
              </w:rPr>
              <w:t xml:space="preserve">, or for FR2-NTN operation </w:t>
            </w:r>
            <w:r>
              <w:rPr>
                <w:rFonts w:hint="default"/>
                <w:b/>
                <w:bCs w:val="0"/>
                <w:sz w:val="20"/>
                <w:szCs w:val="20"/>
                <w:highlight w:val="yellow"/>
                <w:lang w:val="en-US"/>
              </w:rPr>
              <w:t>only</w:t>
            </w:r>
            <w:r>
              <w:rPr>
                <w:rFonts w:hint="default"/>
                <w:sz w:val="20"/>
                <w:szCs w:val="20"/>
                <w:highlight w:val="yellow"/>
                <w:lang w:val="en-US"/>
              </w:rPr>
              <w:t>.</w:t>
            </w:r>
          </w:p>
          <w:p>
            <w:pPr>
              <w:pStyle w:val="29"/>
              <w:keepNext w:val="0"/>
              <w:keepLines w:val="0"/>
              <w:widowControl/>
              <w:numPr>
                <w:ilvl w:val="0"/>
                <w:numId w:val="4"/>
              </w:numPr>
              <w:suppressLineNumbers w:val="0"/>
              <w:overflowPunct/>
              <w:autoSpaceDE/>
              <w:autoSpaceDN w:val="0"/>
              <w:adjustRightInd/>
              <w:spacing w:before="0" w:beforeAutospacing="0" w:after="0" w:afterAutospacing="0" w:line="256" w:lineRule="auto"/>
              <w:ind w:left="720" w:right="0" w:hanging="360"/>
              <w:contextualSpacing/>
              <w:jc w:val="both"/>
              <w:rPr>
                <w:rFonts w:hint="default"/>
                <w:sz w:val="20"/>
                <w:szCs w:val="20"/>
                <w:lang w:val="en-US"/>
              </w:rPr>
            </w:pPr>
            <w:r>
              <w:rPr>
                <w:rFonts w:hint="default"/>
                <w:sz w:val="20"/>
                <w:szCs w:val="20"/>
                <w:lang w:val="en-US"/>
              </w:rPr>
              <w:t>RAN#107 checkpoint: Depending on the feedback from RAN1 and RAN2 on the LS in R4-2419902, further WID updates may be needed to address feedback on specifying bands for both FR1-NTN numerology and FR2-NTN numerology or for other issues such as support for a single SCS per frequency band.</w:t>
            </w:r>
          </w:p>
          <w:p>
            <w:pPr>
              <w:keepNext w:val="0"/>
              <w:keepLines w:val="0"/>
              <w:widowControl/>
              <w:numPr>
                <w:ilvl w:val="0"/>
                <w:numId w:val="0"/>
              </w:numPr>
              <w:suppressLineNumbers w:val="0"/>
              <w:spacing w:before="0" w:beforeAutospacing="0" w:after="0" w:afterAutospacing="0"/>
              <w:ind w:left="360" w:leftChars="0" w:right="0"/>
              <w:rPr>
                <w:rFonts w:hint="default" w:ascii="Times New Roman" w:hAnsi="Times New Roman" w:eastAsia="宋体" w:cs="Times New Roman"/>
                <w:kern w:val="0"/>
                <w:sz w:val="20"/>
                <w:szCs w:val="20"/>
              </w:rPr>
            </w:pPr>
          </w:p>
        </w:tc>
      </w:tr>
    </w:tbl>
    <w:p>
      <w:pPr>
        <w:pStyle w:val="4"/>
        <w:rPr>
          <w:rFonts w:hint="default"/>
          <w:lang w:val="en-US" w:eastAsia="zh-CN"/>
        </w:rPr>
      </w:pPr>
      <w:r>
        <w:rPr>
          <w:rFonts w:hint="eastAsia"/>
          <w:lang w:val="en-US" w:eastAsia="zh-CN"/>
        </w:rPr>
        <w:t>2.1.1 General aspects</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ind w:leftChars="0"/>
        <w:jc w:val="both"/>
        <w:textAlignment w:val="baseline"/>
        <w:rPr>
          <w:rFonts w:hint="eastAsia" w:eastAsia="宋体" w:cs="Times New Roman"/>
          <w:sz w:val="22"/>
          <w:lang w:val="en-US" w:eastAsia="zh-CN"/>
        </w:rPr>
      </w:pPr>
      <w:r>
        <w:rPr>
          <w:rFonts w:hint="eastAsia" w:eastAsia="宋体" w:cs="Times New Roman"/>
          <w:sz w:val="22"/>
          <w:lang w:val="en-US" w:eastAsia="zh-CN"/>
        </w:rPr>
        <w:t>In R17, NTN RRM requirements are defined based on band n255 and n256, both in FR1.</w:t>
      </w:r>
    </w:p>
    <w:p>
      <w:pPr>
        <w:keepNext/>
        <w:keepLines/>
        <w:overflowPunct w:val="0"/>
        <w:autoSpaceDE w:val="0"/>
        <w:autoSpaceDN w:val="0"/>
        <w:adjustRightInd w:val="0"/>
        <w:spacing w:before="60" w:beforeLines="0" w:after="180" w:afterLines="0"/>
        <w:jc w:val="center"/>
        <w:textAlignment w:val="baseline"/>
        <w:rPr>
          <w:rFonts w:ascii="Arial" w:hAnsi="Arial" w:eastAsia="宋体"/>
          <w:b/>
          <w:sz w:val="20"/>
          <w:lang w:eastAsia="zh-CN"/>
        </w:rPr>
      </w:pPr>
      <w:r>
        <w:rPr>
          <w:rFonts w:ascii="Arial" w:hAnsi="Arial" w:eastAsia="宋体"/>
          <w:b/>
          <w:bCs/>
          <w:sz w:val="20"/>
          <w:lang w:eastAsia="zh-CN"/>
        </w:rPr>
        <w:t xml:space="preserve">Table </w:t>
      </w:r>
      <w:r>
        <w:rPr>
          <w:rFonts w:hint="eastAsia" w:ascii="Arial" w:hAnsi="Arial" w:eastAsia="宋体"/>
          <w:b/>
          <w:bCs/>
          <w:sz w:val="20"/>
          <w:lang w:val="en-US" w:eastAsia="zh-CN"/>
        </w:rPr>
        <w:t>1</w:t>
      </w:r>
      <w:r>
        <w:rPr>
          <w:rFonts w:ascii="Arial" w:hAnsi="Arial" w:eastAsia="宋体"/>
          <w:b/>
          <w:bCs/>
          <w:sz w:val="20"/>
          <w:lang w:eastAsia="zh-CN"/>
        </w:rPr>
        <w:t xml:space="preserve">: </w:t>
      </w:r>
      <w:r>
        <w:rPr>
          <w:rFonts w:hint="eastAsia" w:ascii="Arial" w:hAnsi="Arial" w:eastAsia="宋体"/>
          <w:b/>
          <w:bCs/>
          <w:sz w:val="20"/>
          <w:lang w:val="en-US" w:eastAsia="zh-CN"/>
        </w:rPr>
        <w:t>NTN</w:t>
      </w:r>
      <w:r>
        <w:rPr>
          <w:rFonts w:ascii="Arial" w:hAnsi="Arial" w:eastAsia="宋体"/>
          <w:b/>
          <w:bCs/>
          <w:sz w:val="20"/>
          <w:lang w:val="en-US" w:eastAsia="zh-CN"/>
        </w:rPr>
        <w:t xml:space="preserve"> satellite</w:t>
      </w:r>
      <w:r>
        <w:rPr>
          <w:rFonts w:ascii="Arial" w:hAnsi="Arial" w:eastAsia="宋体"/>
          <w:b/>
          <w:bCs/>
          <w:sz w:val="20"/>
          <w:lang w:eastAsia="zh-CN"/>
        </w:rPr>
        <w:t xml:space="preserve"> bands in FR1</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2"/>
        <w:gridCol w:w="3818"/>
        <w:gridCol w:w="3840"/>
        <w:gridCol w:w="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2" w:type="dxa"/>
            <w:shd w:val="clear" w:color="auto" w:fill="auto"/>
          </w:tcPr>
          <w:p>
            <w:pPr>
              <w:keepNext/>
              <w:keepLines/>
              <w:widowControl/>
              <w:suppressLineNumbers w:val="0"/>
              <w:overflowPunct w:val="0"/>
              <w:autoSpaceDE w:val="0"/>
              <w:autoSpaceDN w:val="0"/>
              <w:adjustRightInd w:val="0"/>
              <w:spacing w:before="0" w:beforeLines="0" w:beforeAutospacing="0" w:after="0" w:afterLines="0" w:afterAutospacing="0"/>
              <w:ind w:left="0" w:right="0"/>
              <w:jc w:val="center"/>
              <w:textAlignment w:val="baseline"/>
              <w:rPr>
                <w:rFonts w:hint="default" w:ascii="Arial" w:hAnsi="Arial" w:eastAsia="宋体"/>
                <w:b/>
                <w:sz w:val="18"/>
                <w:szCs w:val="20"/>
                <w:lang w:eastAsia="zh-CN"/>
              </w:rPr>
            </w:pPr>
            <w:r>
              <w:rPr>
                <w:rFonts w:hint="default" w:ascii="Arial" w:hAnsi="Arial" w:eastAsia="宋体"/>
                <w:b/>
                <w:sz w:val="18"/>
                <w:szCs w:val="20"/>
                <w:lang w:eastAsia="zh-CN"/>
              </w:rPr>
              <w:t>NTN satellite</w:t>
            </w:r>
            <w:r>
              <w:rPr>
                <w:rFonts w:hint="default" w:ascii="Arial" w:hAnsi="Arial" w:eastAsia="宋体"/>
                <w:b/>
                <w:sz w:val="18"/>
                <w:szCs w:val="20"/>
                <w:lang w:val="en-US" w:eastAsia="zh-CN"/>
              </w:rPr>
              <w:t xml:space="preserve"> operating </w:t>
            </w:r>
            <w:r>
              <w:rPr>
                <w:rFonts w:hint="default" w:ascii="Arial" w:hAnsi="Arial" w:eastAsia="宋体"/>
                <w:b/>
                <w:sz w:val="18"/>
                <w:szCs w:val="20"/>
                <w:lang w:eastAsia="zh-CN"/>
              </w:rPr>
              <w:t>band</w:t>
            </w:r>
          </w:p>
        </w:tc>
        <w:tc>
          <w:tcPr>
            <w:tcW w:w="3818" w:type="dxa"/>
            <w:shd w:val="clear" w:color="auto" w:fill="auto"/>
          </w:tcPr>
          <w:p>
            <w:pPr>
              <w:keepNext/>
              <w:keepLines/>
              <w:widowControl/>
              <w:suppressLineNumbers w:val="0"/>
              <w:overflowPunct w:val="0"/>
              <w:autoSpaceDE w:val="0"/>
              <w:autoSpaceDN w:val="0"/>
              <w:adjustRightInd w:val="0"/>
              <w:spacing w:before="0" w:beforeLines="0" w:beforeAutospacing="0" w:after="0" w:afterLines="0" w:afterAutospacing="0"/>
              <w:ind w:left="0" w:right="0"/>
              <w:jc w:val="center"/>
              <w:textAlignment w:val="baseline"/>
              <w:rPr>
                <w:rFonts w:hint="default" w:ascii="Arial" w:hAnsi="Arial" w:eastAsia="宋体"/>
                <w:b/>
                <w:sz w:val="18"/>
                <w:szCs w:val="20"/>
                <w:lang w:val="en-US" w:eastAsia="zh-CN"/>
              </w:rPr>
            </w:pPr>
            <w:r>
              <w:rPr>
                <w:rFonts w:hint="default" w:ascii="Arial" w:hAnsi="Arial" w:eastAsia="宋体"/>
                <w:b/>
                <w:sz w:val="18"/>
                <w:szCs w:val="20"/>
                <w:lang w:val="en-US" w:eastAsia="zh-CN"/>
              </w:rPr>
              <w:t>Uplink (UL) operating band</w:t>
            </w:r>
            <w:r>
              <w:rPr>
                <w:rFonts w:hint="default" w:ascii="Arial" w:hAnsi="Arial" w:eastAsia="宋体"/>
                <w:b/>
                <w:sz w:val="18"/>
                <w:szCs w:val="20"/>
                <w:lang w:val="en-US" w:eastAsia="zh-CN"/>
              </w:rPr>
              <w:br w:type="textWrapping"/>
            </w:r>
            <w:r>
              <w:rPr>
                <w:rFonts w:hint="default" w:ascii="Arial" w:hAnsi="Arial" w:eastAsia="宋体"/>
                <w:b/>
                <w:sz w:val="18"/>
                <w:szCs w:val="20"/>
                <w:lang w:val="en-US" w:eastAsia="zh-CN"/>
              </w:rPr>
              <w:t>Satellite Access Node receive / UE transmit</w:t>
            </w:r>
          </w:p>
          <w:p>
            <w:pPr>
              <w:keepNext/>
              <w:keepLines/>
              <w:widowControl/>
              <w:suppressLineNumbers w:val="0"/>
              <w:overflowPunct w:val="0"/>
              <w:autoSpaceDE w:val="0"/>
              <w:autoSpaceDN w:val="0"/>
              <w:adjustRightInd w:val="0"/>
              <w:spacing w:before="0" w:beforeLines="0" w:beforeAutospacing="0" w:after="0" w:afterLines="0" w:afterAutospacing="0"/>
              <w:ind w:left="0" w:right="0"/>
              <w:jc w:val="center"/>
              <w:textAlignment w:val="baseline"/>
              <w:rPr>
                <w:rFonts w:hint="default" w:ascii="Arial" w:hAnsi="Arial" w:eastAsia="宋体"/>
                <w:b/>
                <w:sz w:val="18"/>
                <w:szCs w:val="20"/>
                <w:lang w:eastAsia="zh-CN"/>
              </w:rPr>
            </w:pPr>
            <w:r>
              <w:rPr>
                <w:rFonts w:hint="default" w:ascii="Arial" w:hAnsi="Arial" w:eastAsia="宋体"/>
                <w:b/>
                <w:sz w:val="18"/>
                <w:szCs w:val="20"/>
                <w:lang w:eastAsia="zh-CN"/>
              </w:rPr>
              <w:t>F</w:t>
            </w:r>
            <w:r>
              <w:rPr>
                <w:rFonts w:hint="default" w:ascii="Arial" w:hAnsi="Arial" w:eastAsia="宋体"/>
                <w:b/>
                <w:sz w:val="18"/>
                <w:szCs w:val="20"/>
                <w:vertAlign w:val="subscript"/>
                <w:lang w:eastAsia="zh-CN"/>
              </w:rPr>
              <w:t>UL,low</w:t>
            </w:r>
            <w:r>
              <w:rPr>
                <w:rFonts w:hint="default" w:ascii="Arial" w:hAnsi="Arial" w:eastAsia="宋体"/>
                <w:b/>
                <w:sz w:val="18"/>
                <w:szCs w:val="20"/>
                <w:lang w:eastAsia="zh-CN"/>
              </w:rPr>
              <w:t xml:space="preserve">   –  F</w:t>
            </w:r>
            <w:r>
              <w:rPr>
                <w:rFonts w:hint="default" w:ascii="Arial" w:hAnsi="Arial" w:eastAsia="宋体"/>
                <w:b/>
                <w:sz w:val="18"/>
                <w:szCs w:val="20"/>
                <w:vertAlign w:val="subscript"/>
                <w:lang w:eastAsia="zh-CN"/>
              </w:rPr>
              <w:t>UL,high</w:t>
            </w:r>
          </w:p>
        </w:tc>
        <w:tc>
          <w:tcPr>
            <w:tcW w:w="3840" w:type="dxa"/>
          </w:tcPr>
          <w:p>
            <w:pPr>
              <w:keepNext/>
              <w:keepLines/>
              <w:widowControl/>
              <w:suppressLineNumbers w:val="0"/>
              <w:overflowPunct w:val="0"/>
              <w:autoSpaceDE w:val="0"/>
              <w:autoSpaceDN w:val="0"/>
              <w:adjustRightInd w:val="0"/>
              <w:spacing w:before="0" w:beforeLines="0" w:beforeAutospacing="0" w:after="0" w:afterLines="0" w:afterAutospacing="0"/>
              <w:ind w:left="0" w:right="0"/>
              <w:jc w:val="center"/>
              <w:textAlignment w:val="baseline"/>
              <w:rPr>
                <w:rFonts w:hint="default" w:ascii="Arial" w:hAnsi="Arial" w:eastAsia="宋体"/>
                <w:b/>
                <w:sz w:val="18"/>
                <w:szCs w:val="20"/>
                <w:lang w:val="en-US" w:eastAsia="zh-CN"/>
              </w:rPr>
            </w:pPr>
            <w:r>
              <w:rPr>
                <w:rFonts w:hint="default" w:ascii="Arial" w:hAnsi="Arial" w:eastAsia="宋体"/>
                <w:b/>
                <w:sz w:val="18"/>
                <w:szCs w:val="20"/>
                <w:lang w:val="en-US" w:eastAsia="zh-CN"/>
              </w:rPr>
              <w:t>Downlink (DL) operating band</w:t>
            </w:r>
            <w:r>
              <w:rPr>
                <w:rFonts w:hint="default" w:ascii="Arial" w:hAnsi="Arial" w:eastAsia="宋体"/>
                <w:b/>
                <w:sz w:val="18"/>
                <w:szCs w:val="20"/>
                <w:lang w:val="en-US" w:eastAsia="zh-CN"/>
              </w:rPr>
              <w:br w:type="textWrapping"/>
            </w:r>
            <w:r>
              <w:rPr>
                <w:rFonts w:hint="default" w:ascii="Arial" w:hAnsi="Arial" w:eastAsia="宋体"/>
                <w:b/>
                <w:sz w:val="18"/>
                <w:szCs w:val="20"/>
                <w:lang w:val="en-US" w:eastAsia="zh-CN"/>
              </w:rPr>
              <w:t>Satellite Access Node transmit / UE receive</w:t>
            </w:r>
          </w:p>
          <w:p>
            <w:pPr>
              <w:keepNext/>
              <w:keepLines/>
              <w:widowControl/>
              <w:suppressLineNumbers w:val="0"/>
              <w:overflowPunct w:val="0"/>
              <w:autoSpaceDE w:val="0"/>
              <w:autoSpaceDN w:val="0"/>
              <w:adjustRightInd w:val="0"/>
              <w:spacing w:before="0" w:beforeLines="0" w:beforeAutospacing="0" w:after="0" w:afterLines="0" w:afterAutospacing="0"/>
              <w:ind w:left="0" w:right="0"/>
              <w:jc w:val="center"/>
              <w:textAlignment w:val="baseline"/>
              <w:rPr>
                <w:rFonts w:hint="default" w:ascii="Arial" w:hAnsi="Arial" w:eastAsia="宋体"/>
                <w:b/>
                <w:sz w:val="18"/>
                <w:szCs w:val="20"/>
                <w:lang w:eastAsia="zh-CN"/>
              </w:rPr>
            </w:pPr>
            <w:r>
              <w:rPr>
                <w:rFonts w:hint="default" w:ascii="Arial" w:hAnsi="Arial" w:eastAsia="宋体"/>
                <w:b/>
                <w:sz w:val="18"/>
                <w:szCs w:val="20"/>
                <w:lang w:eastAsia="zh-CN"/>
              </w:rPr>
              <w:t>F</w:t>
            </w:r>
            <w:r>
              <w:rPr>
                <w:rFonts w:hint="default" w:ascii="Arial" w:hAnsi="Arial" w:eastAsia="宋体"/>
                <w:b/>
                <w:sz w:val="18"/>
                <w:szCs w:val="20"/>
                <w:vertAlign w:val="subscript"/>
                <w:lang w:eastAsia="zh-CN"/>
              </w:rPr>
              <w:t>DL,low</w:t>
            </w:r>
            <w:r>
              <w:rPr>
                <w:rFonts w:hint="default" w:ascii="Arial" w:hAnsi="Arial" w:eastAsia="宋体"/>
                <w:b/>
                <w:sz w:val="18"/>
                <w:szCs w:val="20"/>
                <w:lang w:eastAsia="zh-CN"/>
              </w:rPr>
              <w:t xml:space="preserve">   –  F</w:t>
            </w:r>
            <w:r>
              <w:rPr>
                <w:rFonts w:hint="default" w:ascii="Arial" w:hAnsi="Arial" w:eastAsia="宋体"/>
                <w:b/>
                <w:sz w:val="18"/>
                <w:szCs w:val="20"/>
                <w:vertAlign w:val="subscript"/>
                <w:lang w:eastAsia="zh-CN"/>
              </w:rPr>
              <w:t>DL,high</w:t>
            </w:r>
            <w:r>
              <w:rPr>
                <w:rFonts w:hint="default" w:ascii="Arial" w:hAnsi="Arial" w:eastAsia="宋体"/>
                <w:b/>
                <w:bCs/>
                <w:sz w:val="18"/>
                <w:szCs w:val="20"/>
                <w:lang w:eastAsia="zh-CN"/>
              </w:rPr>
              <w:t xml:space="preserve"> </w:t>
            </w:r>
          </w:p>
        </w:tc>
        <w:tc>
          <w:tcPr>
            <w:tcW w:w="886" w:type="dxa"/>
          </w:tcPr>
          <w:p>
            <w:pPr>
              <w:keepNext/>
              <w:keepLines/>
              <w:widowControl/>
              <w:suppressLineNumbers w:val="0"/>
              <w:overflowPunct w:val="0"/>
              <w:autoSpaceDE w:val="0"/>
              <w:autoSpaceDN w:val="0"/>
              <w:adjustRightInd w:val="0"/>
              <w:spacing w:before="0" w:beforeLines="0" w:beforeAutospacing="0" w:after="0" w:afterLines="0" w:afterAutospacing="0"/>
              <w:ind w:left="0" w:right="0"/>
              <w:jc w:val="center"/>
              <w:textAlignment w:val="baseline"/>
              <w:rPr>
                <w:rFonts w:hint="default" w:ascii="Arial" w:hAnsi="Arial" w:eastAsia="宋体"/>
                <w:b/>
                <w:sz w:val="18"/>
                <w:szCs w:val="20"/>
                <w:lang w:eastAsia="zh-CN"/>
              </w:rPr>
            </w:pPr>
            <w:r>
              <w:rPr>
                <w:rFonts w:hint="default" w:ascii="Arial" w:hAnsi="Arial" w:eastAsia="宋体"/>
                <w:b/>
                <w:sz w:val="18"/>
                <w:szCs w:val="20"/>
                <w:lang w:eastAsia="zh-CN"/>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2" w:type="dxa"/>
            <w:shd w:val="clear" w:color="auto" w:fill="auto"/>
          </w:tcPr>
          <w:p>
            <w:pPr>
              <w:keepNext/>
              <w:keepLines/>
              <w:widowControl/>
              <w:suppressLineNumbers w:val="0"/>
              <w:overflowPunct w:val="0"/>
              <w:autoSpaceDE w:val="0"/>
              <w:autoSpaceDN w:val="0"/>
              <w:adjustRightInd w:val="0"/>
              <w:spacing w:before="0" w:beforeLines="0" w:beforeAutospacing="0" w:after="0" w:afterLines="0" w:afterAutospacing="0"/>
              <w:ind w:left="0" w:right="0"/>
              <w:jc w:val="center"/>
              <w:textAlignment w:val="baseline"/>
              <w:rPr>
                <w:rFonts w:hint="default" w:ascii="Arial" w:hAnsi="Arial" w:eastAsia="宋体"/>
                <w:sz w:val="18"/>
                <w:szCs w:val="20"/>
                <w:lang w:eastAsia="zh-CN"/>
              </w:rPr>
            </w:pPr>
            <w:r>
              <w:rPr>
                <w:rFonts w:hint="eastAsia" w:ascii="Arial" w:hAnsi="Arial" w:eastAsia="宋体"/>
                <w:sz w:val="18"/>
                <w:szCs w:val="20"/>
                <w:lang w:eastAsia="zh-CN"/>
              </w:rPr>
              <w:t>n256</w:t>
            </w:r>
          </w:p>
        </w:tc>
        <w:tc>
          <w:tcPr>
            <w:tcW w:w="3818" w:type="dxa"/>
            <w:shd w:val="clear" w:color="auto" w:fill="auto"/>
          </w:tcPr>
          <w:p>
            <w:pPr>
              <w:keepNext/>
              <w:keepLines/>
              <w:widowControl/>
              <w:suppressLineNumbers w:val="0"/>
              <w:overflowPunct w:val="0"/>
              <w:autoSpaceDE w:val="0"/>
              <w:autoSpaceDN w:val="0"/>
              <w:adjustRightInd w:val="0"/>
              <w:spacing w:before="0" w:beforeLines="0" w:beforeAutospacing="0" w:after="0" w:afterLines="0" w:afterAutospacing="0"/>
              <w:ind w:left="0" w:right="0"/>
              <w:jc w:val="center"/>
              <w:textAlignment w:val="baseline"/>
              <w:rPr>
                <w:rFonts w:hint="default" w:ascii="Arial" w:hAnsi="Arial" w:eastAsia="宋体"/>
                <w:sz w:val="18"/>
                <w:szCs w:val="20"/>
                <w:lang w:eastAsia="zh-CN"/>
              </w:rPr>
            </w:pPr>
            <w:r>
              <w:rPr>
                <w:rFonts w:hint="default" w:ascii="Arial" w:hAnsi="Arial" w:eastAsia="宋体"/>
                <w:sz w:val="18"/>
                <w:szCs w:val="20"/>
                <w:lang w:eastAsia="zh-CN"/>
              </w:rPr>
              <w:t>1980</w:t>
            </w:r>
            <w:r>
              <w:rPr>
                <w:rFonts w:hint="eastAsia" w:ascii="Arial" w:hAnsi="Arial" w:eastAsia="宋体"/>
                <w:sz w:val="18"/>
                <w:szCs w:val="20"/>
                <w:lang w:val="en-US" w:eastAsia="zh-CN"/>
              </w:rPr>
              <w:t>MHz</w:t>
            </w:r>
            <w:r>
              <w:rPr>
                <w:rFonts w:hint="default" w:ascii="Arial" w:hAnsi="Arial" w:eastAsia="宋体"/>
                <w:sz w:val="18"/>
                <w:szCs w:val="20"/>
                <w:lang w:eastAsia="zh-CN"/>
              </w:rPr>
              <w:t xml:space="preserve"> – 2010 MHz</w:t>
            </w:r>
          </w:p>
        </w:tc>
        <w:tc>
          <w:tcPr>
            <w:tcW w:w="3840" w:type="dxa"/>
          </w:tcPr>
          <w:p>
            <w:pPr>
              <w:keepNext/>
              <w:keepLines/>
              <w:widowControl/>
              <w:suppressLineNumbers w:val="0"/>
              <w:overflowPunct w:val="0"/>
              <w:autoSpaceDE w:val="0"/>
              <w:autoSpaceDN w:val="0"/>
              <w:adjustRightInd w:val="0"/>
              <w:spacing w:before="0" w:beforeLines="0" w:beforeAutospacing="0" w:after="0" w:afterLines="0" w:afterAutospacing="0"/>
              <w:ind w:left="0" w:right="0"/>
              <w:jc w:val="center"/>
              <w:textAlignment w:val="baseline"/>
              <w:rPr>
                <w:rFonts w:hint="default" w:ascii="Arial" w:hAnsi="Arial" w:eastAsia="宋体"/>
                <w:sz w:val="18"/>
                <w:szCs w:val="20"/>
                <w:lang w:eastAsia="zh-CN"/>
              </w:rPr>
            </w:pPr>
            <w:r>
              <w:rPr>
                <w:rFonts w:hint="default" w:ascii="Arial" w:hAnsi="Arial" w:eastAsia="宋体"/>
                <w:sz w:val="18"/>
                <w:szCs w:val="20"/>
                <w:lang w:eastAsia="zh-CN"/>
              </w:rPr>
              <w:t>2170 MHz</w:t>
            </w:r>
            <w:r>
              <w:rPr>
                <w:rFonts w:hint="eastAsia" w:ascii="Arial" w:hAnsi="Arial" w:eastAsia="宋体"/>
                <w:sz w:val="18"/>
                <w:szCs w:val="20"/>
                <w:lang w:val="en-US" w:eastAsia="zh-CN"/>
              </w:rPr>
              <w:t xml:space="preserve"> </w:t>
            </w:r>
            <w:r>
              <w:rPr>
                <w:rFonts w:hint="default" w:ascii="Arial" w:hAnsi="Arial" w:eastAsia="宋体"/>
                <w:sz w:val="18"/>
                <w:szCs w:val="20"/>
                <w:lang w:eastAsia="zh-CN"/>
              </w:rPr>
              <w:t>–</w:t>
            </w:r>
            <w:r>
              <w:rPr>
                <w:rFonts w:hint="eastAsia" w:ascii="Arial" w:hAnsi="Arial" w:eastAsia="宋体"/>
                <w:sz w:val="18"/>
                <w:szCs w:val="20"/>
                <w:lang w:val="en-US" w:eastAsia="zh-CN"/>
              </w:rPr>
              <w:t xml:space="preserve"> </w:t>
            </w:r>
            <w:r>
              <w:rPr>
                <w:rFonts w:hint="default" w:ascii="Arial" w:hAnsi="Arial" w:eastAsia="宋体"/>
                <w:sz w:val="18"/>
                <w:szCs w:val="20"/>
                <w:lang w:eastAsia="zh-CN"/>
              </w:rPr>
              <w:t>2200 MHz</w:t>
            </w:r>
          </w:p>
        </w:tc>
        <w:tc>
          <w:tcPr>
            <w:tcW w:w="886" w:type="dxa"/>
          </w:tcPr>
          <w:p>
            <w:pPr>
              <w:keepNext/>
              <w:keepLines/>
              <w:widowControl/>
              <w:suppressLineNumbers w:val="0"/>
              <w:overflowPunct w:val="0"/>
              <w:autoSpaceDE w:val="0"/>
              <w:autoSpaceDN w:val="0"/>
              <w:adjustRightInd w:val="0"/>
              <w:spacing w:before="0" w:beforeLines="0" w:beforeAutospacing="0" w:after="0" w:afterLines="0" w:afterAutospacing="0"/>
              <w:ind w:left="0" w:right="0"/>
              <w:jc w:val="center"/>
              <w:textAlignment w:val="baseline"/>
              <w:rPr>
                <w:rFonts w:hint="default" w:ascii="Arial" w:hAnsi="Arial" w:eastAsia="宋体"/>
                <w:sz w:val="18"/>
                <w:szCs w:val="20"/>
                <w:lang w:eastAsia="zh-CN"/>
              </w:rPr>
            </w:pPr>
            <w:r>
              <w:rPr>
                <w:rFonts w:hint="default" w:ascii="Arial" w:hAnsi="Arial" w:eastAsia="宋体"/>
                <w:sz w:val="18"/>
                <w:szCs w:val="20"/>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2" w:type="dxa"/>
            <w:shd w:val="clear" w:color="auto" w:fill="auto"/>
          </w:tcPr>
          <w:p>
            <w:pPr>
              <w:keepNext/>
              <w:keepLines/>
              <w:widowControl/>
              <w:suppressLineNumbers w:val="0"/>
              <w:overflowPunct w:val="0"/>
              <w:autoSpaceDE w:val="0"/>
              <w:autoSpaceDN w:val="0"/>
              <w:adjustRightInd w:val="0"/>
              <w:spacing w:before="0" w:beforeLines="0" w:beforeAutospacing="0" w:after="0" w:afterLines="0" w:afterAutospacing="0"/>
              <w:ind w:left="0" w:right="0"/>
              <w:jc w:val="center"/>
              <w:textAlignment w:val="baseline"/>
              <w:rPr>
                <w:rFonts w:hint="default" w:ascii="Arial" w:hAnsi="Arial" w:eastAsia="宋体"/>
                <w:sz w:val="18"/>
                <w:szCs w:val="20"/>
                <w:lang w:eastAsia="zh-CN"/>
              </w:rPr>
            </w:pPr>
            <w:r>
              <w:rPr>
                <w:rFonts w:hint="eastAsia" w:ascii="Arial" w:hAnsi="Arial" w:eastAsia="宋体"/>
                <w:sz w:val="18"/>
                <w:szCs w:val="20"/>
                <w:lang w:eastAsia="zh-CN"/>
              </w:rPr>
              <w:t>n255</w:t>
            </w:r>
          </w:p>
        </w:tc>
        <w:tc>
          <w:tcPr>
            <w:tcW w:w="3818" w:type="dxa"/>
            <w:shd w:val="clear" w:color="auto" w:fill="auto"/>
          </w:tcPr>
          <w:p>
            <w:pPr>
              <w:keepNext/>
              <w:keepLines/>
              <w:widowControl/>
              <w:suppressLineNumbers w:val="0"/>
              <w:overflowPunct w:val="0"/>
              <w:autoSpaceDE w:val="0"/>
              <w:autoSpaceDN w:val="0"/>
              <w:adjustRightInd w:val="0"/>
              <w:spacing w:before="0" w:beforeLines="0" w:beforeAutospacing="0" w:after="0" w:afterLines="0" w:afterAutospacing="0"/>
              <w:ind w:left="0" w:right="0"/>
              <w:jc w:val="center"/>
              <w:textAlignment w:val="baseline"/>
              <w:rPr>
                <w:rFonts w:hint="default" w:ascii="Arial" w:hAnsi="Arial" w:eastAsia="宋体"/>
                <w:sz w:val="18"/>
                <w:szCs w:val="20"/>
                <w:lang w:eastAsia="zh-CN"/>
              </w:rPr>
            </w:pPr>
            <w:r>
              <w:rPr>
                <w:rFonts w:hint="default" w:ascii="Arial" w:hAnsi="Arial" w:eastAsia="宋体"/>
                <w:sz w:val="18"/>
                <w:szCs w:val="20"/>
                <w:lang w:eastAsia="zh-CN"/>
              </w:rPr>
              <w:t>1626.5 MHz – 1660.5 MHz</w:t>
            </w:r>
          </w:p>
        </w:tc>
        <w:tc>
          <w:tcPr>
            <w:tcW w:w="3840" w:type="dxa"/>
          </w:tcPr>
          <w:p>
            <w:pPr>
              <w:keepNext/>
              <w:keepLines/>
              <w:widowControl/>
              <w:suppressLineNumbers w:val="0"/>
              <w:overflowPunct w:val="0"/>
              <w:autoSpaceDE w:val="0"/>
              <w:autoSpaceDN w:val="0"/>
              <w:adjustRightInd w:val="0"/>
              <w:spacing w:before="0" w:beforeLines="0" w:beforeAutospacing="0" w:after="0" w:afterLines="0" w:afterAutospacing="0"/>
              <w:ind w:left="0" w:right="0"/>
              <w:jc w:val="center"/>
              <w:textAlignment w:val="baseline"/>
              <w:rPr>
                <w:rFonts w:hint="default" w:ascii="Arial" w:hAnsi="Arial" w:eastAsia="宋体"/>
                <w:sz w:val="18"/>
                <w:szCs w:val="20"/>
                <w:lang w:eastAsia="zh-CN"/>
              </w:rPr>
            </w:pPr>
            <w:r>
              <w:rPr>
                <w:rFonts w:hint="default" w:ascii="Arial" w:hAnsi="Arial" w:eastAsia="宋体"/>
                <w:sz w:val="18"/>
                <w:szCs w:val="20"/>
                <w:lang w:eastAsia="zh-CN"/>
              </w:rPr>
              <w:t>1525 MHz – 1559</w:t>
            </w:r>
            <w:r>
              <w:rPr>
                <w:rFonts w:hint="eastAsia" w:ascii="Arial" w:hAnsi="Arial" w:eastAsia="宋体"/>
                <w:sz w:val="18"/>
                <w:szCs w:val="20"/>
                <w:lang w:eastAsia="zh-CN"/>
              </w:rPr>
              <w:t xml:space="preserve"> </w:t>
            </w:r>
            <w:r>
              <w:rPr>
                <w:rFonts w:hint="default" w:ascii="Arial" w:hAnsi="Arial" w:eastAsia="宋体"/>
                <w:sz w:val="18"/>
                <w:szCs w:val="20"/>
                <w:lang w:eastAsia="zh-CN"/>
              </w:rPr>
              <w:t>MHz</w:t>
            </w:r>
          </w:p>
        </w:tc>
        <w:tc>
          <w:tcPr>
            <w:tcW w:w="886" w:type="dxa"/>
          </w:tcPr>
          <w:p>
            <w:pPr>
              <w:keepNext/>
              <w:keepLines/>
              <w:widowControl/>
              <w:suppressLineNumbers w:val="0"/>
              <w:overflowPunct w:val="0"/>
              <w:autoSpaceDE w:val="0"/>
              <w:autoSpaceDN w:val="0"/>
              <w:adjustRightInd w:val="0"/>
              <w:spacing w:before="0" w:beforeLines="0" w:beforeAutospacing="0" w:after="0" w:afterLines="0" w:afterAutospacing="0"/>
              <w:ind w:left="0" w:right="0"/>
              <w:jc w:val="center"/>
              <w:textAlignment w:val="baseline"/>
              <w:rPr>
                <w:rFonts w:hint="default" w:ascii="Arial" w:hAnsi="Arial" w:eastAsia="宋体"/>
                <w:sz w:val="18"/>
                <w:szCs w:val="20"/>
                <w:lang w:eastAsia="zh-CN"/>
              </w:rPr>
            </w:pPr>
            <w:r>
              <w:rPr>
                <w:rFonts w:hint="default" w:ascii="Arial" w:hAnsi="Arial" w:eastAsia="宋体"/>
                <w:sz w:val="18"/>
                <w:szCs w:val="20"/>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36" w:type="dxa"/>
            <w:gridSpan w:val="4"/>
            <w:shd w:val="clear" w:color="auto" w:fill="auto"/>
          </w:tcPr>
          <w:p>
            <w:pPr>
              <w:keepNext/>
              <w:keepLines/>
              <w:widowControl/>
              <w:suppressLineNumbers w:val="0"/>
              <w:overflowPunct w:val="0"/>
              <w:autoSpaceDE w:val="0"/>
              <w:autoSpaceDN w:val="0"/>
              <w:adjustRightInd w:val="0"/>
              <w:spacing w:before="0" w:beforeLines="0" w:beforeAutospacing="0" w:after="0" w:afterLines="0" w:afterAutospacing="0"/>
              <w:ind w:left="851" w:right="0" w:hanging="851"/>
              <w:textAlignment w:val="baseline"/>
              <w:rPr>
                <w:rFonts w:hint="default" w:ascii="Arial" w:hAnsi="Arial" w:eastAsia="宋体"/>
                <w:b/>
                <w:sz w:val="18"/>
                <w:szCs w:val="20"/>
                <w:lang w:eastAsia="ja-JP"/>
              </w:rPr>
            </w:pPr>
            <w:r>
              <w:rPr>
                <w:rFonts w:hint="eastAsia" w:ascii="Arial" w:hAnsi="Arial" w:eastAsia="宋体"/>
                <w:sz w:val="18"/>
                <w:szCs w:val="20"/>
                <w:lang w:eastAsia="zh-CN"/>
              </w:rPr>
              <w:t>NOTE:</w:t>
            </w:r>
            <w:r>
              <w:rPr>
                <w:rFonts w:hint="default" w:ascii="Arial" w:hAnsi="Arial" w:eastAsia="宋体"/>
                <w:sz w:val="18"/>
                <w:szCs w:val="20"/>
                <w:lang w:eastAsia="zh-CN"/>
              </w:rPr>
              <w:t xml:space="preserve"> </w:t>
            </w:r>
            <w:r>
              <w:rPr>
                <w:rFonts w:hint="default" w:ascii="Arial" w:hAnsi="Arial" w:eastAsia="宋体"/>
                <w:sz w:val="18"/>
                <w:szCs w:val="20"/>
                <w:lang w:eastAsia="zh-CN"/>
              </w:rPr>
              <w:tab/>
            </w:r>
            <w:r>
              <w:rPr>
                <w:rFonts w:hint="eastAsia" w:ascii="Arial" w:hAnsi="Arial" w:eastAsia="宋体"/>
                <w:sz w:val="18"/>
                <w:szCs w:val="20"/>
                <w:lang w:eastAsia="zh-CN"/>
              </w:rPr>
              <w:t xml:space="preserve">NTN </w:t>
            </w:r>
            <w:r>
              <w:rPr>
                <w:rFonts w:hint="default" w:ascii="Arial" w:hAnsi="Arial" w:eastAsia="宋体"/>
                <w:sz w:val="18"/>
                <w:szCs w:val="20"/>
                <w:lang w:eastAsia="zh-CN"/>
              </w:rPr>
              <w:t xml:space="preserve">satellite </w:t>
            </w:r>
            <w:r>
              <w:rPr>
                <w:rFonts w:hint="eastAsia" w:ascii="Arial" w:hAnsi="Arial" w:eastAsia="宋体"/>
                <w:sz w:val="18"/>
                <w:szCs w:val="20"/>
                <w:lang w:eastAsia="zh-CN"/>
              </w:rPr>
              <w:t xml:space="preserve">bands are numbered in </w:t>
            </w:r>
            <w:r>
              <w:rPr>
                <w:rFonts w:hint="default" w:ascii="Arial" w:hAnsi="Arial" w:eastAsia="宋体"/>
                <w:sz w:val="18"/>
                <w:szCs w:val="20"/>
                <w:lang w:eastAsia="zh-CN"/>
              </w:rPr>
              <w:t>descending</w:t>
            </w:r>
            <w:r>
              <w:rPr>
                <w:rFonts w:hint="eastAsia" w:ascii="Arial" w:hAnsi="Arial" w:eastAsia="宋体"/>
                <w:sz w:val="18"/>
                <w:szCs w:val="20"/>
                <w:lang w:eastAsia="zh-CN"/>
              </w:rPr>
              <w:t xml:space="preserve"> order from n256.</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ind w:leftChars="0"/>
        <w:jc w:val="both"/>
        <w:textAlignment w:val="baseline"/>
        <w:rPr>
          <w:rFonts w:hint="eastAsia" w:eastAsia="宋体" w:cs="Times New Roman"/>
          <w:sz w:val="22"/>
          <w:lang w:val="en-US" w:eastAsia="zh-CN"/>
        </w:rPr>
      </w:pPr>
      <w:r>
        <w:rPr>
          <w:rFonts w:hint="eastAsia" w:eastAsia="宋体" w:cs="Times New Roman"/>
          <w:sz w:val="22"/>
          <w:lang w:val="en-US" w:eastAsia="zh-CN"/>
        </w:rPr>
        <w:t>In R18, RAN4 has already studied the NTN RRM requirements based on band512, n511 and n510, both in FR2.</w:t>
      </w:r>
    </w:p>
    <w:p>
      <w:pPr>
        <w:keepNext/>
        <w:keepLines/>
        <w:pageBreakBefore w:val="0"/>
        <w:widowControl/>
        <w:numPr>
          <w:ilvl w:val="-1"/>
          <w:numId w:val="0"/>
        </w:numPr>
        <w:kinsoku/>
        <w:wordWrap/>
        <w:overflowPunct w:val="0"/>
        <w:topLinePunct w:val="0"/>
        <w:autoSpaceDE w:val="0"/>
        <w:autoSpaceDN w:val="0"/>
        <w:bidi w:val="0"/>
        <w:adjustRightInd w:val="0"/>
        <w:snapToGrid/>
        <w:spacing w:before="60" w:beforeLines="0" w:after="180" w:afterLines="0" w:line="240" w:lineRule="auto"/>
        <w:ind w:leftChars="0"/>
        <w:jc w:val="center"/>
        <w:textAlignment w:val="baseline"/>
        <w:rPr>
          <w:rFonts w:hint="default" w:eastAsia="宋体" w:cs="Times New Roman"/>
          <w:sz w:val="22"/>
          <w:lang w:val="en-US" w:eastAsia="zh-CN"/>
        </w:rPr>
      </w:pPr>
      <w:r>
        <w:rPr>
          <w:rFonts w:ascii="Arial" w:hAnsi="Arial" w:eastAsia="宋体"/>
          <w:b/>
          <w:bCs/>
          <w:sz w:val="20"/>
          <w:lang w:eastAsia="zh-CN"/>
        </w:rPr>
        <w:t xml:space="preserve">Table </w:t>
      </w:r>
      <w:r>
        <w:rPr>
          <w:rFonts w:hint="eastAsia" w:ascii="Arial" w:hAnsi="Arial" w:eastAsia="宋体"/>
          <w:b/>
          <w:bCs/>
          <w:sz w:val="20"/>
          <w:lang w:val="en-US" w:eastAsia="zh-CN"/>
        </w:rPr>
        <w:t>2</w:t>
      </w:r>
      <w:r>
        <w:rPr>
          <w:rFonts w:ascii="Arial" w:hAnsi="Arial" w:eastAsia="宋体"/>
          <w:b/>
          <w:bCs/>
          <w:sz w:val="20"/>
          <w:lang w:eastAsia="zh-CN"/>
        </w:rPr>
        <w:t xml:space="preserve">: </w:t>
      </w:r>
      <w:r>
        <w:rPr>
          <w:rFonts w:hint="eastAsia" w:ascii="Arial" w:hAnsi="Arial" w:eastAsia="宋体"/>
          <w:b/>
          <w:bCs/>
          <w:sz w:val="20"/>
          <w:lang w:val="en-US" w:eastAsia="zh-CN"/>
        </w:rPr>
        <w:t>NTN</w:t>
      </w:r>
      <w:r>
        <w:rPr>
          <w:rFonts w:ascii="Arial" w:hAnsi="Arial" w:eastAsia="宋体"/>
          <w:b/>
          <w:bCs/>
          <w:sz w:val="20"/>
          <w:lang w:val="en-US" w:eastAsia="zh-CN"/>
        </w:rPr>
        <w:t xml:space="preserve"> satellite</w:t>
      </w:r>
      <w:r>
        <w:rPr>
          <w:rFonts w:ascii="Arial" w:hAnsi="Arial" w:eastAsia="宋体"/>
          <w:b/>
          <w:bCs/>
          <w:sz w:val="20"/>
          <w:lang w:eastAsia="zh-CN"/>
        </w:rPr>
        <w:t xml:space="preserve"> bands in FR</w:t>
      </w:r>
      <w:r>
        <w:rPr>
          <w:rFonts w:hint="eastAsia" w:ascii="Arial" w:hAnsi="Arial" w:eastAsia="宋体"/>
          <w:b/>
          <w:bCs/>
          <w:sz w:val="20"/>
          <w:lang w:val="en-US" w:eastAsia="zh-CN"/>
        </w:rPr>
        <w:t>2</w:t>
      </w:r>
    </w:p>
    <w:tbl>
      <w:tblPr>
        <w:tblStyle w:val="3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81"/>
        <w:gridCol w:w="3574"/>
        <w:gridCol w:w="40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7" w:type="pct"/>
            <w:vAlign w:val="center"/>
          </w:tcPr>
          <w:p>
            <w:pPr>
              <w:keepNext w:val="0"/>
              <w:keepLines w:val="0"/>
              <w:widowControl/>
              <w:suppressLineNumbers w:val="0"/>
              <w:spacing w:before="0" w:beforeAutospacing="0" w:after="0" w:afterAutospacing="0"/>
              <w:ind w:left="0" w:right="0"/>
              <w:jc w:val="center"/>
              <w:rPr>
                <w:rFonts w:hint="default"/>
                <w:b/>
                <w:bCs/>
                <w:sz w:val="20"/>
                <w:szCs w:val="20"/>
                <w:lang w:val="sv-SE"/>
              </w:rPr>
            </w:pPr>
            <w:r>
              <w:rPr>
                <w:rFonts w:hint="default"/>
                <w:b/>
                <w:bCs/>
                <w:sz w:val="20"/>
                <w:szCs w:val="20"/>
                <w:lang w:val="sv-SE"/>
              </w:rPr>
              <w:t>NTN operating band</w:t>
            </w:r>
          </w:p>
        </w:tc>
        <w:tc>
          <w:tcPr>
            <w:tcW w:w="1813" w:type="pct"/>
            <w:vAlign w:val="center"/>
          </w:tcPr>
          <w:p>
            <w:pPr>
              <w:keepNext w:val="0"/>
              <w:keepLines w:val="0"/>
              <w:widowControl/>
              <w:suppressLineNumbers w:val="0"/>
              <w:spacing w:before="0" w:beforeAutospacing="0" w:after="0" w:afterAutospacing="0"/>
              <w:ind w:left="0" w:right="0"/>
              <w:jc w:val="center"/>
              <w:rPr>
                <w:rFonts w:hint="default"/>
                <w:b/>
                <w:bCs/>
                <w:sz w:val="20"/>
                <w:szCs w:val="20"/>
                <w:lang w:val="sv-SE"/>
              </w:rPr>
            </w:pPr>
            <w:r>
              <w:rPr>
                <w:rFonts w:hint="default"/>
                <w:b/>
                <w:bCs/>
                <w:sz w:val="20"/>
                <w:szCs w:val="20"/>
                <w:lang w:val="sv-SE"/>
              </w:rPr>
              <w:t>UL</w:t>
            </w:r>
          </w:p>
          <w:p>
            <w:pPr>
              <w:keepNext w:val="0"/>
              <w:keepLines w:val="0"/>
              <w:widowControl/>
              <w:suppressLineNumbers w:val="0"/>
              <w:spacing w:before="0" w:beforeAutospacing="0" w:after="0" w:afterAutospacing="0"/>
              <w:ind w:left="0" w:right="0"/>
              <w:jc w:val="center"/>
              <w:rPr>
                <w:rFonts w:hint="default"/>
                <w:b/>
                <w:bCs/>
                <w:sz w:val="20"/>
                <w:szCs w:val="20"/>
                <w:lang w:val="sv-SE"/>
              </w:rPr>
            </w:pPr>
            <w:r>
              <w:rPr>
                <w:rFonts w:hint="default"/>
                <w:b/>
                <w:bCs/>
                <w:sz w:val="20"/>
                <w:szCs w:val="20"/>
                <w:lang w:val="sv-SE"/>
              </w:rPr>
              <w:t>Earth-to-Space</w:t>
            </w:r>
          </w:p>
        </w:tc>
        <w:tc>
          <w:tcPr>
            <w:tcW w:w="2030" w:type="pct"/>
            <w:vAlign w:val="center"/>
          </w:tcPr>
          <w:p>
            <w:pPr>
              <w:keepNext w:val="0"/>
              <w:keepLines w:val="0"/>
              <w:widowControl/>
              <w:suppressLineNumbers w:val="0"/>
              <w:spacing w:before="0" w:beforeAutospacing="0" w:after="0" w:afterAutospacing="0"/>
              <w:ind w:left="0" w:right="0"/>
              <w:jc w:val="center"/>
              <w:rPr>
                <w:rFonts w:hint="default"/>
                <w:b/>
                <w:bCs/>
                <w:sz w:val="20"/>
                <w:szCs w:val="20"/>
                <w:lang w:val="sv-SE"/>
              </w:rPr>
            </w:pPr>
            <w:r>
              <w:rPr>
                <w:rFonts w:hint="default"/>
                <w:b/>
                <w:bCs/>
                <w:sz w:val="20"/>
                <w:szCs w:val="20"/>
                <w:lang w:val="sv-SE"/>
              </w:rPr>
              <w:t>DL</w:t>
            </w:r>
          </w:p>
          <w:p>
            <w:pPr>
              <w:keepNext w:val="0"/>
              <w:keepLines w:val="0"/>
              <w:widowControl/>
              <w:suppressLineNumbers w:val="0"/>
              <w:spacing w:before="0" w:beforeAutospacing="0" w:after="0" w:afterAutospacing="0"/>
              <w:ind w:left="0" w:right="0"/>
              <w:jc w:val="center"/>
              <w:rPr>
                <w:rFonts w:hint="default"/>
                <w:b/>
                <w:bCs/>
                <w:sz w:val="20"/>
                <w:szCs w:val="20"/>
                <w:lang w:val="sv-SE"/>
              </w:rPr>
            </w:pPr>
            <w:r>
              <w:rPr>
                <w:rFonts w:hint="default"/>
                <w:b/>
                <w:bCs/>
                <w:sz w:val="20"/>
                <w:szCs w:val="20"/>
                <w:lang w:val="sv-SE"/>
              </w:rPr>
              <w:t>Space-to-Earth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7" w:type="pct"/>
            <w:vAlign w:val="center"/>
          </w:tcPr>
          <w:p>
            <w:pPr>
              <w:keepNext w:val="0"/>
              <w:keepLines w:val="0"/>
              <w:widowControl/>
              <w:suppressLineNumbers w:val="0"/>
              <w:spacing w:before="0" w:beforeAutospacing="0" w:after="0" w:afterAutospacing="0"/>
              <w:ind w:left="0" w:right="0"/>
              <w:jc w:val="center"/>
              <w:rPr>
                <w:rFonts w:hint="default"/>
                <w:sz w:val="20"/>
                <w:szCs w:val="20"/>
                <w:lang w:val="sv-SE"/>
              </w:rPr>
            </w:pPr>
            <w:r>
              <w:rPr>
                <w:rFonts w:hint="default"/>
                <w:sz w:val="20"/>
                <w:szCs w:val="20"/>
                <w:lang w:val="sv-SE"/>
              </w:rPr>
              <w:t>n512</w:t>
            </w:r>
            <w:r>
              <w:rPr>
                <w:rFonts w:hint="default"/>
                <w:sz w:val="20"/>
                <w:szCs w:val="20"/>
                <w:vertAlign w:val="superscript"/>
                <w:lang w:val="sv-SE"/>
              </w:rPr>
              <w:t>1</w:t>
            </w:r>
          </w:p>
        </w:tc>
        <w:tc>
          <w:tcPr>
            <w:tcW w:w="1813" w:type="pct"/>
            <w:vAlign w:val="center"/>
          </w:tcPr>
          <w:p>
            <w:pPr>
              <w:keepNext w:val="0"/>
              <w:keepLines w:val="0"/>
              <w:widowControl/>
              <w:suppressLineNumbers w:val="0"/>
              <w:spacing w:before="0" w:beforeAutospacing="0" w:after="0" w:afterAutospacing="0"/>
              <w:ind w:left="0" w:right="0"/>
              <w:jc w:val="center"/>
              <w:rPr>
                <w:rFonts w:hint="default"/>
                <w:sz w:val="20"/>
                <w:szCs w:val="20"/>
                <w:lang w:val="sv-SE"/>
              </w:rPr>
            </w:pPr>
            <w:r>
              <w:rPr>
                <w:rFonts w:hint="default"/>
                <w:sz w:val="20"/>
                <w:szCs w:val="20"/>
                <w:lang w:val="sv-SE"/>
              </w:rPr>
              <w:t>27.5 - 30.0 GHz</w:t>
            </w:r>
          </w:p>
        </w:tc>
        <w:tc>
          <w:tcPr>
            <w:tcW w:w="2030" w:type="pct"/>
            <w:vAlign w:val="center"/>
          </w:tcPr>
          <w:p>
            <w:pPr>
              <w:keepNext w:val="0"/>
              <w:keepLines w:val="0"/>
              <w:widowControl/>
              <w:suppressLineNumbers w:val="0"/>
              <w:spacing w:before="0" w:beforeAutospacing="0" w:after="0" w:afterAutospacing="0"/>
              <w:ind w:left="0" w:right="0"/>
              <w:jc w:val="center"/>
              <w:rPr>
                <w:rFonts w:hint="default"/>
                <w:sz w:val="20"/>
                <w:szCs w:val="20"/>
                <w:lang w:val="sv-SE"/>
              </w:rPr>
            </w:pPr>
            <w:r>
              <w:rPr>
                <w:rFonts w:hint="default"/>
                <w:sz w:val="20"/>
                <w:szCs w:val="20"/>
                <w:lang w:val="sv-SE"/>
              </w:rPr>
              <w:t>17.3 - 20.2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7" w:type="pct"/>
            <w:vAlign w:val="center"/>
          </w:tcPr>
          <w:p>
            <w:pPr>
              <w:keepNext w:val="0"/>
              <w:keepLines w:val="0"/>
              <w:widowControl/>
              <w:suppressLineNumbers w:val="0"/>
              <w:spacing w:before="0" w:beforeAutospacing="0" w:after="0" w:afterAutospacing="0"/>
              <w:ind w:left="0" w:right="0"/>
              <w:jc w:val="center"/>
              <w:rPr>
                <w:rFonts w:hint="default"/>
                <w:sz w:val="20"/>
                <w:szCs w:val="20"/>
                <w:lang w:val="sv-SE"/>
              </w:rPr>
            </w:pPr>
            <w:r>
              <w:rPr>
                <w:rFonts w:hint="default"/>
                <w:sz w:val="20"/>
                <w:szCs w:val="20"/>
                <w:lang w:val="sv-SE"/>
              </w:rPr>
              <w:t>n511</w:t>
            </w:r>
            <w:r>
              <w:rPr>
                <w:rFonts w:hint="default"/>
                <w:sz w:val="20"/>
                <w:szCs w:val="20"/>
                <w:vertAlign w:val="superscript"/>
                <w:lang w:val="sv-SE"/>
              </w:rPr>
              <w:t>2</w:t>
            </w:r>
          </w:p>
        </w:tc>
        <w:tc>
          <w:tcPr>
            <w:tcW w:w="1813" w:type="pct"/>
            <w:vAlign w:val="center"/>
          </w:tcPr>
          <w:p>
            <w:pPr>
              <w:keepNext w:val="0"/>
              <w:keepLines w:val="0"/>
              <w:widowControl/>
              <w:suppressLineNumbers w:val="0"/>
              <w:spacing w:before="0" w:beforeAutospacing="0" w:after="0" w:afterAutospacing="0"/>
              <w:ind w:left="0" w:right="0"/>
              <w:jc w:val="center"/>
              <w:rPr>
                <w:rFonts w:hint="default"/>
                <w:sz w:val="20"/>
                <w:szCs w:val="20"/>
                <w:lang w:val="sv-SE"/>
              </w:rPr>
            </w:pPr>
            <w:r>
              <w:rPr>
                <w:rFonts w:hint="default"/>
                <w:sz w:val="20"/>
                <w:szCs w:val="20"/>
                <w:lang w:val="sv-SE"/>
              </w:rPr>
              <w:t>28.35 - 30.0 GHz</w:t>
            </w:r>
          </w:p>
        </w:tc>
        <w:tc>
          <w:tcPr>
            <w:tcW w:w="2030" w:type="pct"/>
            <w:vAlign w:val="center"/>
          </w:tcPr>
          <w:p>
            <w:pPr>
              <w:keepNext w:val="0"/>
              <w:keepLines w:val="0"/>
              <w:widowControl/>
              <w:suppressLineNumbers w:val="0"/>
              <w:spacing w:before="0" w:beforeAutospacing="0" w:after="0" w:afterAutospacing="0"/>
              <w:ind w:left="0" w:right="0"/>
              <w:jc w:val="center"/>
              <w:rPr>
                <w:rFonts w:hint="default"/>
                <w:sz w:val="20"/>
                <w:szCs w:val="20"/>
                <w:lang w:val="sv-SE"/>
              </w:rPr>
            </w:pPr>
            <w:r>
              <w:rPr>
                <w:rFonts w:hint="default"/>
                <w:sz w:val="20"/>
                <w:szCs w:val="20"/>
                <w:lang w:val="sv-SE"/>
              </w:rPr>
              <w:t>17.3 - 20.2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7" w:type="pct"/>
            <w:vAlign w:val="center"/>
          </w:tcPr>
          <w:p>
            <w:pPr>
              <w:keepNext w:val="0"/>
              <w:keepLines w:val="0"/>
              <w:widowControl/>
              <w:suppressLineNumbers w:val="0"/>
              <w:spacing w:before="0" w:beforeAutospacing="0" w:after="0" w:afterAutospacing="0"/>
              <w:ind w:left="0" w:right="0"/>
              <w:jc w:val="center"/>
              <w:rPr>
                <w:rFonts w:hint="default"/>
                <w:sz w:val="20"/>
                <w:szCs w:val="20"/>
                <w:lang w:val="sv-SE"/>
              </w:rPr>
            </w:pPr>
            <w:r>
              <w:rPr>
                <w:rFonts w:hint="default"/>
                <w:sz w:val="20"/>
                <w:szCs w:val="20"/>
                <w:lang w:val="sv-SE"/>
              </w:rPr>
              <w:t>n510</w:t>
            </w:r>
            <w:r>
              <w:rPr>
                <w:rFonts w:hint="default"/>
                <w:sz w:val="20"/>
                <w:szCs w:val="20"/>
                <w:vertAlign w:val="superscript"/>
                <w:lang w:val="sv-SE"/>
              </w:rPr>
              <w:t>3</w:t>
            </w:r>
          </w:p>
        </w:tc>
        <w:tc>
          <w:tcPr>
            <w:tcW w:w="1813" w:type="pct"/>
            <w:vAlign w:val="center"/>
          </w:tcPr>
          <w:p>
            <w:pPr>
              <w:keepNext w:val="0"/>
              <w:keepLines w:val="0"/>
              <w:widowControl/>
              <w:suppressLineNumbers w:val="0"/>
              <w:spacing w:before="0" w:beforeAutospacing="0" w:after="0" w:afterAutospacing="0"/>
              <w:ind w:left="0" w:right="0"/>
              <w:jc w:val="center"/>
              <w:rPr>
                <w:rFonts w:hint="default"/>
                <w:sz w:val="20"/>
                <w:szCs w:val="20"/>
                <w:lang w:val="sv-SE"/>
              </w:rPr>
            </w:pPr>
            <w:r>
              <w:rPr>
                <w:rFonts w:hint="default"/>
                <w:sz w:val="20"/>
                <w:szCs w:val="20"/>
                <w:lang w:val="sv-SE"/>
              </w:rPr>
              <w:t>27.5 - 28.35 GHz</w:t>
            </w:r>
          </w:p>
        </w:tc>
        <w:tc>
          <w:tcPr>
            <w:tcW w:w="2030" w:type="pct"/>
            <w:vAlign w:val="center"/>
          </w:tcPr>
          <w:p>
            <w:pPr>
              <w:keepNext w:val="0"/>
              <w:keepLines w:val="0"/>
              <w:widowControl/>
              <w:suppressLineNumbers w:val="0"/>
              <w:spacing w:before="0" w:beforeAutospacing="0" w:after="0" w:afterAutospacing="0"/>
              <w:ind w:left="0" w:right="0"/>
              <w:jc w:val="center"/>
              <w:rPr>
                <w:rFonts w:hint="default"/>
                <w:sz w:val="20"/>
                <w:szCs w:val="20"/>
                <w:lang w:val="sv-SE"/>
              </w:rPr>
            </w:pPr>
            <w:r>
              <w:rPr>
                <w:rFonts w:hint="default"/>
                <w:sz w:val="20"/>
                <w:szCs w:val="20"/>
                <w:lang w:val="sv-SE"/>
              </w:rPr>
              <w:t>17.3 - 20.2 GHz</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ind w:leftChars="0"/>
        <w:jc w:val="both"/>
        <w:textAlignment w:val="baseline"/>
        <w:rPr>
          <w:rFonts w:hint="eastAsia" w:eastAsia="宋体" w:cs="Times New Roman"/>
          <w:sz w:val="22"/>
          <w:lang w:val="en-US" w:eastAsia="zh-CN"/>
        </w:rPr>
      </w:pPr>
      <w:r>
        <w:rPr>
          <w:rFonts w:hint="eastAsia" w:eastAsia="宋体" w:cs="Times New Roman"/>
          <w:sz w:val="22"/>
          <w:lang w:val="en-US" w:eastAsia="zh-CN"/>
        </w:rPr>
        <w:t>In R19, Ku band has introduced in RAN meeting for NR NTN, and there are two kinds of Ku band in WID, the following could be seen:</w:t>
      </w:r>
    </w:p>
    <w:p>
      <w:pPr>
        <w:pStyle w:val="29"/>
        <w:keepNext/>
        <w:keepLines w:val="0"/>
        <w:widowControl/>
        <w:suppressLineNumbers w:val="0"/>
        <w:overflowPunct/>
        <w:autoSpaceDE/>
        <w:autoSpaceDN/>
        <w:adjustRightInd/>
        <w:spacing w:before="0" w:beforeAutospacing="0" w:after="160" w:afterAutospacing="0" w:line="256" w:lineRule="auto"/>
        <w:ind w:left="0" w:right="0"/>
        <w:jc w:val="center"/>
        <w:rPr>
          <w:lang w:val="en-US"/>
        </w:rPr>
      </w:pPr>
      <w:bookmarkStart w:id="2" w:name="_Ref135061080"/>
      <w:r>
        <w:rPr>
          <w:rFonts w:hint="default" w:ascii="Calibri" w:hAnsi="Calibri" w:eastAsia="Calibri" w:cs="Times New Roman"/>
          <w:b/>
          <w:bCs/>
          <w:kern w:val="0"/>
          <w:sz w:val="22"/>
          <w:szCs w:val="22"/>
          <w:lang w:val="en-US" w:eastAsia="zh-CN" w:bidi="ar"/>
        </w:rPr>
        <w:t xml:space="preserve">Table </w:t>
      </w:r>
      <w:bookmarkEnd w:id="2"/>
      <w:r>
        <w:rPr>
          <w:rFonts w:hint="eastAsia" w:ascii="Calibri" w:hAnsi="Calibri" w:eastAsia="Calibri" w:cs="Times New Roman"/>
          <w:b/>
          <w:bCs/>
          <w:kern w:val="0"/>
          <w:sz w:val="22"/>
          <w:szCs w:val="22"/>
          <w:lang w:val="en-US" w:eastAsia="zh-CN" w:bidi="ar"/>
        </w:rPr>
        <w:t>3</w:t>
      </w:r>
      <w:r>
        <w:rPr>
          <w:rFonts w:hint="default" w:ascii="Calibri" w:hAnsi="Calibri" w:eastAsia="Calibri" w:cs="Times New Roman"/>
          <w:b/>
          <w:bCs/>
          <w:kern w:val="0"/>
          <w:sz w:val="22"/>
          <w:szCs w:val="22"/>
          <w:lang w:val="en-US" w:eastAsia="zh-CN" w:bidi="ar"/>
        </w:rPr>
        <w:t>: Ku Band Downlink and Uplink Spectrum for ITU Regions 1 and 3</w:t>
      </w:r>
    </w:p>
    <w:tbl>
      <w:tblPr>
        <w:tblStyle w:val="3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777"/>
        <w:gridCol w:w="3429"/>
        <w:gridCol w:w="46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659" w:hRule="atLeast"/>
        </w:trPr>
        <w:tc>
          <w:tcPr>
            <w:tcW w:w="90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pacing w:before="0" w:beforeAutospacing="0" w:after="200" w:afterAutospacing="0" w:line="276" w:lineRule="auto"/>
              <w:ind w:left="0" w:right="0"/>
              <w:jc w:val="left"/>
              <w:rPr>
                <w:rFonts w:hint="default"/>
                <w:sz w:val="20"/>
                <w:szCs w:val="22"/>
                <w:lang w:val="en-US"/>
              </w:rPr>
            </w:pPr>
            <w:r>
              <w:rPr>
                <w:rFonts w:hint="default" w:ascii="Times New Roman" w:hAnsi="Times New Roman" w:eastAsia="PMingLiU" w:cs="Times New Roman"/>
                <w:kern w:val="0"/>
                <w:sz w:val="20"/>
                <w:szCs w:val="22"/>
                <w:lang w:val="en-US" w:eastAsia="zh-CN" w:bidi="ar"/>
              </w:rPr>
              <w:t>Ku band for GSO and Non GSO Space Segment</w:t>
            </w:r>
          </w:p>
        </w:tc>
        <w:tc>
          <w:tcPr>
            <w:tcW w:w="173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pacing w:before="0" w:beforeAutospacing="0" w:after="200" w:afterAutospacing="0" w:line="276" w:lineRule="auto"/>
              <w:ind w:left="0" w:right="0"/>
              <w:jc w:val="left"/>
              <w:rPr>
                <w:rFonts w:hint="default"/>
                <w:sz w:val="20"/>
                <w:szCs w:val="22"/>
                <w:lang w:val="en-US"/>
              </w:rPr>
            </w:pPr>
            <w:r>
              <w:rPr>
                <w:rFonts w:hint="default" w:ascii="Times New Roman" w:hAnsi="Times New Roman" w:eastAsia="PMingLiU" w:cs="Times New Roman"/>
                <w:kern w:val="0"/>
                <w:sz w:val="20"/>
                <w:szCs w:val="22"/>
                <w:lang w:val="en-US" w:eastAsia="zh-CN" w:bidi="ar"/>
              </w:rPr>
              <w:t>Downlink (Space to Earth)</w:t>
            </w:r>
          </w:p>
        </w:tc>
        <w:tc>
          <w:tcPr>
            <w:tcW w:w="235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pacing w:before="0" w:beforeAutospacing="0" w:after="200" w:afterAutospacing="0" w:line="276" w:lineRule="auto"/>
              <w:ind w:left="0" w:right="0"/>
              <w:jc w:val="center"/>
              <w:rPr>
                <w:rFonts w:hint="default"/>
                <w:sz w:val="20"/>
                <w:szCs w:val="22"/>
                <w:lang w:val="en-US"/>
              </w:rPr>
            </w:pPr>
            <w:r>
              <w:rPr>
                <w:rFonts w:hint="default" w:ascii="Times New Roman" w:hAnsi="Times New Roman" w:eastAsia="PMingLiU" w:cs="Times New Roman"/>
                <w:kern w:val="0"/>
                <w:sz w:val="20"/>
                <w:szCs w:val="22"/>
                <w:lang w:val="en-US" w:eastAsia="zh-CN" w:bidi="ar"/>
              </w:rPr>
              <w:t>10.70 - 12.75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Pr>
        <w:tc>
          <w:tcPr>
            <w:tcW w:w="90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rPr>
            </w:pPr>
          </w:p>
        </w:tc>
        <w:tc>
          <w:tcPr>
            <w:tcW w:w="173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pacing w:before="0" w:beforeAutospacing="0" w:after="200" w:afterAutospacing="0" w:line="276" w:lineRule="auto"/>
              <w:ind w:left="0" w:right="0"/>
              <w:jc w:val="left"/>
              <w:rPr>
                <w:rFonts w:hint="default"/>
                <w:sz w:val="20"/>
                <w:szCs w:val="22"/>
                <w:lang w:val="en-US"/>
              </w:rPr>
            </w:pPr>
            <w:r>
              <w:rPr>
                <w:rFonts w:hint="default" w:ascii="Times New Roman" w:hAnsi="Times New Roman" w:eastAsia="PMingLiU" w:cs="Times New Roman"/>
                <w:kern w:val="0"/>
                <w:sz w:val="20"/>
                <w:szCs w:val="22"/>
                <w:lang w:val="en-US" w:eastAsia="zh-CN" w:bidi="ar"/>
              </w:rPr>
              <w:t>Uplink (Earth to Space)</w:t>
            </w:r>
          </w:p>
        </w:tc>
        <w:tc>
          <w:tcPr>
            <w:tcW w:w="235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pacing w:before="0" w:beforeAutospacing="0" w:after="200" w:afterAutospacing="0" w:line="276" w:lineRule="auto"/>
              <w:ind w:left="0" w:right="0"/>
              <w:jc w:val="center"/>
              <w:rPr>
                <w:rFonts w:hint="default"/>
                <w:sz w:val="20"/>
                <w:szCs w:val="22"/>
                <w:lang w:val="en-US"/>
              </w:rPr>
            </w:pPr>
            <w:r>
              <w:rPr>
                <w:rFonts w:hint="default" w:ascii="Times New Roman" w:hAnsi="Times New Roman" w:eastAsia="PMingLiU" w:cs="Times New Roman"/>
                <w:kern w:val="0"/>
                <w:sz w:val="20"/>
                <w:szCs w:val="22"/>
                <w:lang w:val="en-US" w:eastAsia="zh-CN" w:bidi="ar"/>
              </w:rPr>
              <w:t>12.75-13.25 GHz &amp; 13.75-14.5 GHz</w:t>
            </w:r>
          </w:p>
        </w:tc>
      </w:tr>
    </w:tbl>
    <w:p>
      <w:pPr>
        <w:pStyle w:val="29"/>
        <w:keepNext/>
        <w:keepLines w:val="0"/>
        <w:widowControl/>
        <w:suppressLineNumbers w:val="0"/>
        <w:overflowPunct/>
        <w:autoSpaceDE/>
        <w:autoSpaceDN/>
        <w:adjustRightInd/>
        <w:spacing w:before="0" w:beforeLines="50" w:beforeAutospacing="0" w:after="160" w:afterAutospacing="0" w:line="240" w:lineRule="auto"/>
        <w:ind w:left="0" w:right="0"/>
        <w:jc w:val="center"/>
        <w:rPr>
          <w:lang w:val="en-US"/>
        </w:rPr>
      </w:pPr>
      <w:bookmarkStart w:id="3" w:name="_Ref135061809"/>
      <w:r>
        <w:rPr>
          <w:rFonts w:hint="default" w:ascii="Calibri" w:hAnsi="Calibri" w:eastAsia="Calibri" w:cs="Times New Roman"/>
          <w:b/>
          <w:bCs/>
          <w:kern w:val="0"/>
          <w:sz w:val="22"/>
          <w:szCs w:val="22"/>
          <w:lang w:val="en-US" w:eastAsia="zh-CN" w:bidi="ar"/>
        </w:rPr>
        <w:t xml:space="preserve">Table </w:t>
      </w:r>
      <w:bookmarkEnd w:id="3"/>
      <w:r>
        <w:rPr>
          <w:rFonts w:hint="eastAsia" w:ascii="Calibri" w:hAnsi="Calibri" w:eastAsia="Calibri" w:cs="Times New Roman"/>
          <w:b/>
          <w:bCs/>
          <w:kern w:val="0"/>
          <w:sz w:val="22"/>
          <w:szCs w:val="22"/>
          <w:lang w:val="en-US" w:eastAsia="zh-CN" w:bidi="ar"/>
        </w:rPr>
        <w:t>4</w:t>
      </w:r>
      <w:r>
        <w:rPr>
          <w:rFonts w:hint="default" w:ascii="Calibri" w:hAnsi="Calibri" w:eastAsia="Calibri" w:cs="Times New Roman"/>
          <w:b/>
          <w:bCs/>
          <w:kern w:val="0"/>
          <w:sz w:val="22"/>
          <w:szCs w:val="22"/>
          <w:lang w:val="en-US" w:eastAsia="zh-CN" w:bidi="ar"/>
        </w:rPr>
        <w:t>: Ku Band Downlink and Uplink Spectrum for ITU Region 2</w:t>
      </w:r>
    </w:p>
    <w:tbl>
      <w:tblPr>
        <w:tblStyle w:val="3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777"/>
        <w:gridCol w:w="3429"/>
        <w:gridCol w:w="46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659" w:hRule="atLeast"/>
        </w:trPr>
        <w:tc>
          <w:tcPr>
            <w:tcW w:w="90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pacing w:before="0" w:beforeAutospacing="0" w:after="200" w:afterAutospacing="0" w:line="276" w:lineRule="auto"/>
              <w:ind w:left="0" w:right="0"/>
              <w:jc w:val="left"/>
              <w:rPr>
                <w:rFonts w:hint="default"/>
                <w:sz w:val="20"/>
                <w:szCs w:val="22"/>
                <w:lang w:val="en-US"/>
              </w:rPr>
            </w:pPr>
            <w:r>
              <w:rPr>
                <w:rFonts w:hint="default" w:ascii="Times New Roman" w:hAnsi="Times New Roman" w:eastAsia="PMingLiU" w:cs="Times New Roman"/>
                <w:kern w:val="0"/>
                <w:sz w:val="20"/>
                <w:szCs w:val="22"/>
                <w:lang w:val="en-US" w:eastAsia="zh-CN" w:bidi="ar"/>
              </w:rPr>
              <w:t>Ku band for GSO and Non GSO Space Segment</w:t>
            </w:r>
          </w:p>
        </w:tc>
        <w:tc>
          <w:tcPr>
            <w:tcW w:w="173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pacing w:before="0" w:beforeAutospacing="0" w:after="200" w:afterAutospacing="0" w:line="276" w:lineRule="auto"/>
              <w:ind w:left="0" w:right="0"/>
              <w:jc w:val="left"/>
              <w:rPr>
                <w:rFonts w:hint="default"/>
                <w:sz w:val="20"/>
                <w:szCs w:val="22"/>
                <w:lang w:val="en-US"/>
              </w:rPr>
            </w:pPr>
            <w:r>
              <w:rPr>
                <w:rFonts w:hint="default" w:ascii="Times New Roman" w:hAnsi="Times New Roman" w:eastAsia="PMingLiU" w:cs="Times New Roman"/>
                <w:kern w:val="0"/>
                <w:sz w:val="20"/>
                <w:szCs w:val="22"/>
                <w:lang w:val="en-US" w:eastAsia="zh-CN" w:bidi="ar"/>
              </w:rPr>
              <w:t>Downlink (Space to Earth)</w:t>
            </w:r>
          </w:p>
        </w:tc>
        <w:tc>
          <w:tcPr>
            <w:tcW w:w="235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pacing w:before="0" w:beforeAutospacing="0" w:after="200" w:afterAutospacing="0" w:line="276" w:lineRule="auto"/>
              <w:ind w:left="0" w:right="0"/>
              <w:jc w:val="center"/>
              <w:rPr>
                <w:rFonts w:hint="default"/>
                <w:sz w:val="20"/>
                <w:szCs w:val="22"/>
                <w:lang w:val="en-US"/>
              </w:rPr>
            </w:pPr>
            <w:r>
              <w:rPr>
                <w:rFonts w:hint="default" w:ascii="Times New Roman" w:hAnsi="Times New Roman" w:eastAsia="PMingLiU" w:cs="Times New Roman"/>
                <w:kern w:val="0"/>
                <w:sz w:val="20"/>
                <w:szCs w:val="22"/>
                <w:lang w:val="en-US" w:eastAsia="zh-CN" w:bidi="ar"/>
              </w:rPr>
              <w:t>10.70 - 12.70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Pr>
        <w:tc>
          <w:tcPr>
            <w:tcW w:w="90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rPr>
            </w:pPr>
          </w:p>
        </w:tc>
        <w:tc>
          <w:tcPr>
            <w:tcW w:w="173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pacing w:before="0" w:beforeAutospacing="0" w:after="200" w:afterAutospacing="0" w:line="276" w:lineRule="auto"/>
              <w:ind w:left="0" w:right="0"/>
              <w:jc w:val="left"/>
              <w:rPr>
                <w:rFonts w:hint="default"/>
                <w:sz w:val="20"/>
                <w:szCs w:val="22"/>
                <w:lang w:val="en-US"/>
              </w:rPr>
            </w:pPr>
            <w:r>
              <w:rPr>
                <w:rFonts w:hint="default" w:ascii="Times New Roman" w:hAnsi="Times New Roman" w:eastAsia="PMingLiU" w:cs="Times New Roman"/>
                <w:kern w:val="0"/>
                <w:sz w:val="20"/>
                <w:szCs w:val="22"/>
                <w:lang w:val="en-US" w:eastAsia="zh-CN" w:bidi="ar"/>
              </w:rPr>
              <w:t>Uplink (Earth to Space)</w:t>
            </w:r>
          </w:p>
        </w:tc>
        <w:tc>
          <w:tcPr>
            <w:tcW w:w="235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pacing w:before="0" w:beforeAutospacing="0" w:after="200" w:afterAutospacing="0" w:line="276" w:lineRule="auto"/>
              <w:ind w:left="0" w:right="0"/>
              <w:jc w:val="center"/>
              <w:rPr>
                <w:rFonts w:hint="default"/>
                <w:sz w:val="20"/>
                <w:szCs w:val="22"/>
                <w:lang w:val="en-US"/>
              </w:rPr>
            </w:pPr>
            <w:r>
              <w:rPr>
                <w:rFonts w:hint="default" w:ascii="Times New Roman" w:hAnsi="Times New Roman" w:eastAsia="PMingLiU" w:cs="Times New Roman"/>
                <w:kern w:val="0"/>
                <w:sz w:val="20"/>
                <w:szCs w:val="22"/>
                <w:lang w:val="en-US" w:eastAsia="zh-CN" w:bidi="ar"/>
              </w:rPr>
              <w:t>12.70-13.25 GHz &amp; 13.75-14.5 GHz</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ind w:leftChars="0"/>
        <w:jc w:val="both"/>
        <w:textAlignment w:val="baseline"/>
        <w:rPr>
          <w:rFonts w:hint="eastAsia" w:eastAsia="宋体" w:cs="Times New Roman"/>
          <w:sz w:val="22"/>
          <w:lang w:val="en-US" w:eastAsia="zh-CN"/>
        </w:rPr>
      </w:pPr>
      <w:r>
        <w:rPr>
          <w:rFonts w:hint="eastAsia" w:eastAsia="宋体" w:cs="Times New Roman"/>
          <w:sz w:val="22"/>
          <w:lang w:val="en-US" w:eastAsia="zh-CN"/>
        </w:rPr>
        <w:t xml:space="preserve">Based on the description of the WID, we know that RRM requirements are defined for VSAT supporting FR1-NTN operation only, or for FR2-NTN operation only. RAN4 shall not exclude any of them. </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ind w:leftChars="0"/>
        <w:jc w:val="both"/>
        <w:textAlignment w:val="baseline"/>
        <w:rPr>
          <w:rFonts w:hint="eastAsia" w:eastAsia="宋体" w:cs="Times New Roman"/>
          <w:sz w:val="22"/>
          <w:lang w:val="en-US" w:eastAsia="zh-CN"/>
        </w:rPr>
      </w:pPr>
      <w:r>
        <w:rPr>
          <w:rFonts w:hint="eastAsia" w:eastAsia="宋体" w:cs="Times New Roman"/>
          <w:sz w:val="22"/>
          <w:lang w:val="en-US" w:eastAsia="zh-CN"/>
        </w:rPr>
        <w:t>In 38.101-5 there are 5 types of VSAT UE:</w:t>
      </w:r>
    </w:p>
    <w:p>
      <w:pPr>
        <w:pStyle w:val="54"/>
      </w:pPr>
      <w:r>
        <w:t xml:space="preserve">Table </w:t>
      </w:r>
      <w:r>
        <w:rPr>
          <w:rFonts w:hint="eastAsia" w:eastAsia="宋体"/>
          <w:lang w:val="en-US" w:eastAsia="zh-CN"/>
        </w:rPr>
        <w:t>5</w:t>
      </w:r>
      <w:r>
        <w:t>: The definitions of NTN VSAT Types</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413"/>
        <w:gridCol w:w="1134"/>
        <w:gridCol w:w="6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13" w:type="dxa"/>
          </w:tcPr>
          <w:p>
            <w:pPr>
              <w:pStyle w:val="45"/>
              <w:widowControl/>
              <w:suppressLineNumbers w:val="0"/>
              <w:spacing w:before="0" w:beforeAutospacing="0" w:afterAutospacing="0"/>
              <w:ind w:left="0" w:right="0"/>
              <w:rPr>
                <w:rFonts w:hint="default"/>
                <w:szCs w:val="20"/>
              </w:rPr>
            </w:pPr>
            <w:r>
              <w:rPr>
                <w:rFonts w:hint="eastAsia"/>
                <w:szCs w:val="20"/>
              </w:rPr>
              <w:t>NTN VSAT</w:t>
            </w:r>
            <w:r>
              <w:rPr>
                <w:rFonts w:hint="default"/>
                <w:szCs w:val="20"/>
              </w:rPr>
              <w:t xml:space="preserve"> class</w:t>
            </w:r>
          </w:p>
        </w:tc>
        <w:tc>
          <w:tcPr>
            <w:tcW w:w="1134" w:type="dxa"/>
            <w:tcMar>
              <w:top w:w="0" w:type="dxa"/>
              <w:left w:w="108" w:type="dxa"/>
              <w:bottom w:w="0" w:type="dxa"/>
              <w:right w:w="108" w:type="dxa"/>
            </w:tcMar>
          </w:tcPr>
          <w:p>
            <w:pPr>
              <w:pStyle w:val="45"/>
              <w:widowControl/>
              <w:suppressLineNumbers w:val="0"/>
              <w:spacing w:before="0" w:beforeAutospacing="0" w:afterAutospacing="0"/>
              <w:ind w:left="0" w:right="0"/>
              <w:rPr>
                <w:rFonts w:hint="default"/>
                <w:szCs w:val="20"/>
              </w:rPr>
            </w:pPr>
            <w:r>
              <w:rPr>
                <w:rFonts w:hint="default"/>
                <w:szCs w:val="20"/>
              </w:rPr>
              <w:t>NTN VSAT type</w:t>
            </w:r>
          </w:p>
        </w:tc>
        <w:tc>
          <w:tcPr>
            <w:tcW w:w="6804" w:type="dxa"/>
            <w:tcMar>
              <w:top w:w="0" w:type="dxa"/>
              <w:left w:w="108" w:type="dxa"/>
              <w:bottom w:w="0" w:type="dxa"/>
              <w:right w:w="108" w:type="dxa"/>
            </w:tcMar>
          </w:tcPr>
          <w:p>
            <w:pPr>
              <w:pStyle w:val="45"/>
              <w:widowControl/>
              <w:suppressLineNumbers w:val="0"/>
              <w:spacing w:before="0" w:beforeAutospacing="0" w:afterAutospacing="0"/>
              <w:ind w:left="0" w:right="0"/>
              <w:rPr>
                <w:rFonts w:hint="default"/>
                <w:szCs w:val="20"/>
              </w:rPr>
            </w:pPr>
            <w:r>
              <w:rPr>
                <w:rFonts w:hint="default"/>
                <w:szCs w:val="20"/>
              </w:rPr>
              <w:t>Type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13" w:type="dxa"/>
            <w:tcBorders>
              <w:bottom w:val="nil"/>
            </w:tcBorders>
            <w:vAlign w:val="center"/>
          </w:tcPr>
          <w:p>
            <w:pPr>
              <w:pStyle w:val="46"/>
              <w:widowControl/>
              <w:suppressLineNumbers w:val="0"/>
              <w:spacing w:before="0" w:beforeAutospacing="0" w:afterAutospacing="0"/>
              <w:ind w:left="0" w:right="0"/>
              <w:rPr>
                <w:rFonts w:hint="default"/>
                <w:szCs w:val="20"/>
              </w:rPr>
            </w:pPr>
            <w:r>
              <w:rPr>
                <w:rFonts w:hint="default"/>
                <w:szCs w:val="20"/>
              </w:rPr>
              <w:t>Fixed VSAT</w:t>
            </w:r>
          </w:p>
        </w:tc>
        <w:tc>
          <w:tcPr>
            <w:tcW w:w="1134" w:type="dxa"/>
            <w:tcMar>
              <w:top w:w="0" w:type="dxa"/>
              <w:left w:w="108" w:type="dxa"/>
              <w:bottom w:w="0" w:type="dxa"/>
              <w:right w:w="108" w:type="dxa"/>
            </w:tcMar>
            <w:vAlign w:val="center"/>
          </w:tcPr>
          <w:p>
            <w:pPr>
              <w:pStyle w:val="46"/>
              <w:widowControl/>
              <w:suppressLineNumbers w:val="0"/>
              <w:spacing w:before="0" w:beforeAutospacing="0" w:afterAutospacing="0"/>
              <w:ind w:left="0" w:right="0"/>
              <w:rPr>
                <w:rFonts w:hint="default"/>
                <w:szCs w:val="20"/>
              </w:rPr>
            </w:pPr>
            <w:r>
              <w:rPr>
                <w:rFonts w:hint="default"/>
                <w:szCs w:val="20"/>
              </w:rPr>
              <w:t>1</w:t>
            </w:r>
          </w:p>
        </w:tc>
        <w:tc>
          <w:tcPr>
            <w:tcW w:w="6804" w:type="dxa"/>
            <w:tcMar>
              <w:top w:w="0" w:type="dxa"/>
              <w:left w:w="108" w:type="dxa"/>
              <w:bottom w:w="0" w:type="dxa"/>
              <w:right w:w="108" w:type="dxa"/>
            </w:tcMar>
          </w:tcPr>
          <w:p>
            <w:pPr>
              <w:pStyle w:val="46"/>
              <w:widowControl/>
              <w:suppressLineNumbers w:val="0"/>
              <w:spacing w:before="0" w:beforeAutospacing="0" w:afterAutospacing="0"/>
              <w:ind w:left="0" w:right="0"/>
              <w:jc w:val="left"/>
              <w:rPr>
                <w:rFonts w:hint="default"/>
                <w:szCs w:val="20"/>
              </w:rPr>
            </w:pPr>
            <w:r>
              <w:rPr>
                <w:rFonts w:hint="default"/>
                <w:szCs w:val="20"/>
              </w:rPr>
              <w:t>Fixed VSAT communicating with GSO and LEO with mechanical steering antenna.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13" w:type="dxa"/>
            <w:tcBorders>
              <w:top w:val="nil"/>
              <w:bottom w:val="nil"/>
            </w:tcBorders>
            <w:vAlign w:val="center"/>
          </w:tcPr>
          <w:p>
            <w:pPr>
              <w:pStyle w:val="46"/>
              <w:widowControl/>
              <w:suppressLineNumbers w:val="0"/>
              <w:spacing w:before="0" w:beforeAutospacing="0" w:afterAutospacing="0"/>
              <w:ind w:left="0" w:right="0"/>
              <w:rPr>
                <w:rFonts w:hint="default"/>
                <w:szCs w:val="20"/>
              </w:rPr>
            </w:pPr>
          </w:p>
        </w:tc>
        <w:tc>
          <w:tcPr>
            <w:tcW w:w="1134" w:type="dxa"/>
            <w:tcMar>
              <w:top w:w="0" w:type="dxa"/>
              <w:left w:w="108" w:type="dxa"/>
              <w:bottom w:w="0" w:type="dxa"/>
              <w:right w:w="108" w:type="dxa"/>
            </w:tcMar>
            <w:vAlign w:val="center"/>
          </w:tcPr>
          <w:p>
            <w:pPr>
              <w:pStyle w:val="46"/>
              <w:widowControl/>
              <w:suppressLineNumbers w:val="0"/>
              <w:spacing w:before="0" w:beforeAutospacing="0" w:afterAutospacing="0"/>
              <w:ind w:left="0" w:right="0"/>
              <w:rPr>
                <w:rFonts w:hint="default"/>
                <w:szCs w:val="20"/>
                <w:vertAlign w:val="superscript"/>
              </w:rPr>
            </w:pPr>
            <w:r>
              <w:rPr>
                <w:rFonts w:hint="default"/>
                <w:szCs w:val="20"/>
              </w:rPr>
              <w:t>2</w:t>
            </w:r>
            <w:r>
              <w:rPr>
                <w:rFonts w:hint="default"/>
                <w:szCs w:val="20"/>
                <w:vertAlign w:val="superscript"/>
              </w:rPr>
              <w:t>2</w:t>
            </w:r>
          </w:p>
        </w:tc>
        <w:tc>
          <w:tcPr>
            <w:tcW w:w="6804" w:type="dxa"/>
            <w:tcMar>
              <w:top w:w="0" w:type="dxa"/>
              <w:left w:w="108" w:type="dxa"/>
              <w:bottom w:w="0" w:type="dxa"/>
              <w:right w:w="108" w:type="dxa"/>
            </w:tcMar>
          </w:tcPr>
          <w:p>
            <w:pPr>
              <w:pStyle w:val="46"/>
              <w:widowControl/>
              <w:suppressLineNumbers w:val="0"/>
              <w:spacing w:before="0" w:beforeAutospacing="0" w:afterAutospacing="0"/>
              <w:ind w:left="0" w:right="0"/>
              <w:jc w:val="left"/>
              <w:rPr>
                <w:rFonts w:hint="default"/>
                <w:szCs w:val="20"/>
              </w:rPr>
            </w:pPr>
            <w:r>
              <w:rPr>
                <w:rFonts w:hint="default"/>
                <w:szCs w:val="20"/>
              </w:rPr>
              <w:t>Fixed VSAT communicating with GSO and LEO with electronic steering antenna.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13" w:type="dxa"/>
            <w:tcBorders>
              <w:top w:val="nil"/>
            </w:tcBorders>
            <w:vAlign w:val="center"/>
          </w:tcPr>
          <w:p>
            <w:pPr>
              <w:pStyle w:val="46"/>
              <w:widowControl/>
              <w:suppressLineNumbers w:val="0"/>
              <w:spacing w:before="0" w:beforeAutospacing="0" w:afterAutospacing="0"/>
              <w:ind w:left="0" w:right="0"/>
              <w:rPr>
                <w:rFonts w:hint="default"/>
                <w:szCs w:val="20"/>
              </w:rPr>
            </w:pPr>
          </w:p>
        </w:tc>
        <w:tc>
          <w:tcPr>
            <w:tcW w:w="1134" w:type="dxa"/>
            <w:tcMar>
              <w:top w:w="0" w:type="dxa"/>
              <w:left w:w="108" w:type="dxa"/>
              <w:bottom w:w="0" w:type="dxa"/>
              <w:right w:w="108" w:type="dxa"/>
            </w:tcMar>
            <w:vAlign w:val="center"/>
          </w:tcPr>
          <w:p>
            <w:pPr>
              <w:pStyle w:val="46"/>
              <w:widowControl/>
              <w:suppressLineNumbers w:val="0"/>
              <w:spacing w:before="0" w:beforeAutospacing="0" w:afterAutospacing="0"/>
              <w:ind w:left="0" w:right="0"/>
              <w:rPr>
                <w:rFonts w:hint="default"/>
                <w:szCs w:val="20"/>
              </w:rPr>
            </w:pPr>
            <w:r>
              <w:rPr>
                <w:rFonts w:hint="default"/>
                <w:szCs w:val="20"/>
              </w:rPr>
              <w:t>3</w:t>
            </w:r>
          </w:p>
        </w:tc>
        <w:tc>
          <w:tcPr>
            <w:tcW w:w="6804" w:type="dxa"/>
            <w:tcMar>
              <w:top w:w="0" w:type="dxa"/>
              <w:left w:w="108" w:type="dxa"/>
              <w:bottom w:w="0" w:type="dxa"/>
              <w:right w:w="108" w:type="dxa"/>
            </w:tcMar>
          </w:tcPr>
          <w:p>
            <w:pPr>
              <w:pStyle w:val="46"/>
              <w:widowControl/>
              <w:suppressLineNumbers w:val="0"/>
              <w:spacing w:before="0" w:beforeAutospacing="0" w:afterAutospacing="0"/>
              <w:ind w:left="0" w:right="0"/>
              <w:jc w:val="left"/>
              <w:rPr>
                <w:rFonts w:hint="default"/>
                <w:szCs w:val="20"/>
              </w:rPr>
            </w:pPr>
            <w:r>
              <w:rPr>
                <w:rFonts w:hint="default"/>
                <w:szCs w:val="20"/>
              </w:rPr>
              <w:t>Fixed VSAT communicating with LEO only with electronic steering antenna.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13" w:type="dxa"/>
            <w:tcBorders>
              <w:bottom w:val="nil"/>
            </w:tcBorders>
            <w:vAlign w:val="center"/>
          </w:tcPr>
          <w:p>
            <w:pPr>
              <w:pStyle w:val="46"/>
              <w:widowControl/>
              <w:suppressLineNumbers w:val="0"/>
              <w:spacing w:before="0" w:beforeAutospacing="0" w:afterAutospacing="0"/>
              <w:ind w:left="0" w:right="0"/>
              <w:rPr>
                <w:rFonts w:hint="default"/>
                <w:szCs w:val="20"/>
              </w:rPr>
            </w:pPr>
            <w:r>
              <w:rPr>
                <w:rFonts w:hint="default"/>
                <w:szCs w:val="20"/>
              </w:rPr>
              <w:t>Mobile VSAT</w:t>
            </w:r>
          </w:p>
        </w:tc>
        <w:tc>
          <w:tcPr>
            <w:tcW w:w="1134" w:type="dxa"/>
            <w:tcMar>
              <w:top w:w="0" w:type="dxa"/>
              <w:left w:w="108" w:type="dxa"/>
              <w:bottom w:w="0" w:type="dxa"/>
              <w:right w:w="108" w:type="dxa"/>
            </w:tcMar>
            <w:vAlign w:val="center"/>
          </w:tcPr>
          <w:p>
            <w:pPr>
              <w:pStyle w:val="46"/>
              <w:widowControl/>
              <w:suppressLineNumbers w:val="0"/>
              <w:spacing w:before="0" w:beforeAutospacing="0" w:afterAutospacing="0"/>
              <w:ind w:left="0" w:right="0"/>
              <w:rPr>
                <w:rFonts w:hint="default"/>
                <w:szCs w:val="20"/>
              </w:rPr>
            </w:pPr>
            <w:r>
              <w:rPr>
                <w:rFonts w:hint="default"/>
                <w:szCs w:val="20"/>
              </w:rPr>
              <w:t>4</w:t>
            </w:r>
          </w:p>
        </w:tc>
        <w:tc>
          <w:tcPr>
            <w:tcW w:w="6804" w:type="dxa"/>
            <w:tcMar>
              <w:top w:w="0" w:type="dxa"/>
              <w:left w:w="108" w:type="dxa"/>
              <w:bottom w:w="0" w:type="dxa"/>
              <w:right w:w="108" w:type="dxa"/>
            </w:tcMar>
          </w:tcPr>
          <w:p>
            <w:pPr>
              <w:pStyle w:val="46"/>
              <w:widowControl/>
              <w:suppressLineNumbers w:val="0"/>
              <w:spacing w:before="0" w:beforeAutospacing="0" w:afterAutospacing="0"/>
              <w:ind w:left="0" w:right="0"/>
              <w:jc w:val="left"/>
              <w:rPr>
                <w:rFonts w:hint="default"/>
                <w:szCs w:val="20"/>
              </w:rPr>
            </w:pPr>
            <w:r>
              <w:rPr>
                <w:rFonts w:hint="default"/>
                <w:szCs w:val="20"/>
              </w:rPr>
              <w:t>Mobile VSAT communicating with GSO with mechanical steering antenna.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13" w:type="dxa"/>
            <w:tcBorders>
              <w:top w:val="nil"/>
            </w:tcBorders>
            <w:vAlign w:val="center"/>
          </w:tcPr>
          <w:p>
            <w:pPr>
              <w:pStyle w:val="46"/>
              <w:widowControl/>
              <w:suppressLineNumbers w:val="0"/>
              <w:spacing w:before="0" w:beforeAutospacing="0" w:afterAutospacing="0"/>
              <w:ind w:left="0" w:right="0"/>
              <w:rPr>
                <w:rFonts w:hint="default"/>
                <w:szCs w:val="20"/>
              </w:rPr>
            </w:pPr>
          </w:p>
        </w:tc>
        <w:tc>
          <w:tcPr>
            <w:tcW w:w="1134" w:type="dxa"/>
            <w:tcMar>
              <w:top w:w="0" w:type="dxa"/>
              <w:left w:w="108" w:type="dxa"/>
              <w:bottom w:w="0" w:type="dxa"/>
              <w:right w:w="108" w:type="dxa"/>
            </w:tcMar>
            <w:vAlign w:val="center"/>
          </w:tcPr>
          <w:p>
            <w:pPr>
              <w:pStyle w:val="46"/>
              <w:widowControl/>
              <w:suppressLineNumbers w:val="0"/>
              <w:spacing w:before="0" w:beforeAutospacing="0" w:afterAutospacing="0"/>
              <w:ind w:left="0" w:right="0"/>
              <w:rPr>
                <w:rFonts w:hint="default"/>
                <w:szCs w:val="20"/>
                <w:vertAlign w:val="superscript"/>
              </w:rPr>
            </w:pPr>
            <w:r>
              <w:rPr>
                <w:rFonts w:hint="default"/>
                <w:szCs w:val="20"/>
              </w:rPr>
              <w:t>5</w:t>
            </w:r>
            <w:r>
              <w:rPr>
                <w:rFonts w:hint="default"/>
                <w:szCs w:val="20"/>
                <w:vertAlign w:val="superscript"/>
              </w:rPr>
              <w:t>2</w:t>
            </w:r>
          </w:p>
        </w:tc>
        <w:tc>
          <w:tcPr>
            <w:tcW w:w="6804" w:type="dxa"/>
            <w:tcMar>
              <w:top w:w="0" w:type="dxa"/>
              <w:left w:w="108" w:type="dxa"/>
              <w:bottom w:w="0" w:type="dxa"/>
              <w:right w:w="108" w:type="dxa"/>
            </w:tcMar>
          </w:tcPr>
          <w:p>
            <w:pPr>
              <w:pStyle w:val="46"/>
              <w:widowControl/>
              <w:suppressLineNumbers w:val="0"/>
              <w:spacing w:before="0" w:beforeAutospacing="0" w:afterAutospacing="0"/>
              <w:ind w:left="0" w:right="0"/>
              <w:jc w:val="left"/>
              <w:rPr>
                <w:rFonts w:hint="default"/>
                <w:szCs w:val="20"/>
              </w:rPr>
            </w:pPr>
            <w:r>
              <w:rPr>
                <w:rFonts w:hint="default"/>
                <w:szCs w:val="20"/>
              </w:rPr>
              <w:t>Mobile VSAT communicating with GSO with electronic steering antenna.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9351" w:type="dxa"/>
            <w:gridSpan w:val="3"/>
          </w:tcPr>
          <w:p>
            <w:pPr>
              <w:pStyle w:val="59"/>
              <w:widowControl/>
              <w:suppressLineNumbers w:val="0"/>
              <w:spacing w:before="0" w:beforeAutospacing="0" w:afterAutospacing="0"/>
              <w:ind w:right="0"/>
              <w:rPr>
                <w:rFonts w:hint="default"/>
                <w:szCs w:val="20"/>
              </w:rPr>
            </w:pPr>
            <w:r>
              <w:rPr>
                <w:rFonts w:hint="default"/>
                <w:szCs w:val="20"/>
              </w:rPr>
              <w:t>NOTE 1:</w:t>
            </w:r>
            <w:r>
              <w:rPr>
                <w:rFonts w:hint="default"/>
                <w:szCs w:val="20"/>
                <w:lang w:val="en-US"/>
              </w:rPr>
              <w:tab/>
            </w:r>
            <w:r>
              <w:rPr>
                <w:rFonts w:hint="default"/>
                <w:szCs w:val="20"/>
              </w:rPr>
              <w:t>The NTN VSAT types are assuming NTN VSAT has only one antenna beam towards one satellite at a given time in this release.</w:t>
            </w:r>
          </w:p>
          <w:p>
            <w:pPr>
              <w:pStyle w:val="59"/>
              <w:widowControl/>
              <w:suppressLineNumbers w:val="0"/>
              <w:spacing w:before="0" w:beforeAutospacing="0" w:afterAutospacing="0"/>
              <w:ind w:right="0"/>
              <w:rPr>
                <w:rFonts w:hint="default"/>
                <w:szCs w:val="20"/>
              </w:rPr>
            </w:pPr>
            <w:r>
              <w:rPr>
                <w:rFonts w:hint="eastAsia"/>
                <w:szCs w:val="20"/>
              </w:rPr>
              <w:t>N</w:t>
            </w:r>
            <w:r>
              <w:rPr>
                <w:rFonts w:hint="default"/>
                <w:szCs w:val="20"/>
              </w:rPr>
              <w:t>OTE 2:</w:t>
            </w:r>
            <w:r>
              <w:rPr>
                <w:rFonts w:hint="default"/>
                <w:szCs w:val="20"/>
              </w:rPr>
              <w:tab/>
            </w:r>
            <w:r>
              <w:rPr>
                <w:rFonts w:hint="default"/>
                <w:szCs w:val="20"/>
              </w:rPr>
              <w:t>NTN VSAT may need power reduction to comply with OFF-axis EIRP requirement defined in clause 9.2.2. There is no requirement for the potential power reduction.</w:t>
            </w:r>
          </w:p>
        </w:tc>
      </w:tr>
    </w:tbl>
    <w:p>
      <w:pPr>
        <w:numPr>
          <w:ilvl w:val="0"/>
          <w:numId w:val="0"/>
        </w:numPr>
        <w:overflowPunct w:val="0"/>
        <w:autoSpaceDE w:val="0"/>
        <w:autoSpaceDN w:val="0"/>
        <w:adjustRightInd w:val="0"/>
        <w:spacing w:before="120" w:beforeLines="0" w:after="120" w:afterLines="0" w:line="240" w:lineRule="auto"/>
        <w:jc w:val="both"/>
        <w:textAlignment w:val="baseline"/>
        <w:rPr>
          <w:rFonts w:hint="eastAsia" w:eastAsia="宋体"/>
          <w:sz w:val="22"/>
          <w:lang w:val="en-US" w:eastAsia="zh-CN"/>
        </w:rPr>
      </w:pPr>
      <w:r>
        <w:rPr>
          <w:rFonts w:hint="eastAsia" w:eastAsia="宋体"/>
          <w:sz w:val="22"/>
          <w:lang w:val="en-US" w:eastAsia="zh-CN"/>
        </w:rPr>
        <w:t>However, only mobile VSAT UE in GSO and NGSO shall be considered and fixed VSAT UE is not in the scope of this topic. To my understanding, the following four cases will be introduced:</w:t>
      </w:r>
    </w:p>
    <w:p>
      <w:pPr>
        <w:numPr>
          <w:ilvl w:val="0"/>
          <w:numId w:val="5"/>
        </w:numPr>
        <w:spacing w:beforeLines="50" w:after="0" w:afterLines="50"/>
        <w:ind w:left="420" w:hanging="420"/>
        <w:rPr>
          <w:rFonts w:hint="eastAsia" w:eastAsia="宋体"/>
          <w:lang w:val="en-US" w:eastAsia="zh-CN"/>
        </w:rPr>
      </w:pPr>
      <w:r>
        <w:rPr>
          <w:rFonts w:hint="eastAsia" w:eastAsia="宋体"/>
          <w:lang w:val="en-US" w:eastAsia="zh-CN"/>
        </w:rPr>
        <w:t>Case 1: mobile VSAT UE served by GSO in FR1</w:t>
      </w:r>
    </w:p>
    <w:p>
      <w:pPr>
        <w:numPr>
          <w:ilvl w:val="0"/>
          <w:numId w:val="5"/>
        </w:numPr>
        <w:spacing w:beforeLines="50" w:after="0" w:afterLines="50"/>
        <w:ind w:left="420" w:hanging="420"/>
        <w:rPr>
          <w:rFonts w:hint="eastAsia" w:eastAsia="宋体"/>
          <w:lang w:val="en-US" w:eastAsia="zh-CN"/>
        </w:rPr>
      </w:pPr>
      <w:r>
        <w:rPr>
          <w:rFonts w:hint="eastAsia" w:eastAsia="宋体"/>
          <w:lang w:val="en-US" w:eastAsia="zh-CN"/>
        </w:rPr>
        <w:t>Case 2: mobile VSAT UE served by NGSO in FR1</w:t>
      </w:r>
    </w:p>
    <w:p>
      <w:pPr>
        <w:numPr>
          <w:ilvl w:val="0"/>
          <w:numId w:val="5"/>
        </w:numPr>
        <w:spacing w:beforeLines="50" w:after="0" w:afterLines="50"/>
        <w:ind w:left="420" w:hanging="420"/>
        <w:rPr>
          <w:rFonts w:hint="eastAsia" w:eastAsia="宋体"/>
          <w:lang w:val="en-US" w:eastAsia="zh-CN"/>
        </w:rPr>
      </w:pPr>
      <w:r>
        <w:rPr>
          <w:rFonts w:hint="eastAsia" w:eastAsia="宋体"/>
          <w:lang w:val="en-US" w:eastAsia="zh-CN"/>
        </w:rPr>
        <w:t>Case 3: mobile VSAT UE served by GSO in FR2</w:t>
      </w:r>
    </w:p>
    <w:p>
      <w:pPr>
        <w:numPr>
          <w:ilvl w:val="0"/>
          <w:numId w:val="5"/>
        </w:numPr>
        <w:spacing w:beforeLines="50" w:after="0" w:afterLines="50"/>
        <w:ind w:left="420" w:hanging="420"/>
        <w:rPr>
          <w:rFonts w:hint="eastAsia" w:eastAsia="宋体"/>
          <w:lang w:val="en-US" w:eastAsia="zh-CN"/>
        </w:rPr>
      </w:pPr>
      <w:r>
        <w:rPr>
          <w:rFonts w:hint="eastAsia" w:eastAsia="宋体"/>
          <w:lang w:val="en-US" w:eastAsia="zh-CN"/>
        </w:rPr>
        <w:t>Case 4: mobile VSAT UE served by NGSO in FR2</w:t>
      </w:r>
    </w:p>
    <w:p>
      <w:pPr>
        <w:numPr>
          <w:ilvl w:val="0"/>
          <w:numId w:val="0"/>
        </w:numPr>
        <w:overflowPunct w:val="0"/>
        <w:autoSpaceDE w:val="0"/>
        <w:autoSpaceDN w:val="0"/>
        <w:adjustRightInd w:val="0"/>
        <w:spacing w:before="120" w:beforeLines="0" w:after="120" w:afterLines="0" w:line="240" w:lineRule="auto"/>
        <w:jc w:val="both"/>
        <w:textAlignment w:val="baseline"/>
        <w:rPr>
          <w:rFonts w:hint="eastAsia" w:eastAsia="宋体"/>
          <w:sz w:val="22"/>
          <w:lang w:val="en-US" w:eastAsia="zh-CN"/>
        </w:rPr>
      </w:pPr>
      <w:r>
        <w:rPr>
          <w:rFonts w:hint="eastAsia" w:eastAsia="宋体"/>
          <w:sz w:val="22"/>
          <w:lang w:val="en-US" w:eastAsia="zh-CN"/>
        </w:rPr>
        <w:t>Another point is SCS, RAN4 considers SCS=15kHz and 30kHz in R17 and SCS=60kHz and 120kHz in FR2. For Ku band, RAN4 shall only consider SCS=30kHz in FR1 and 120kHz in FR2 especially in defining timing requirements.</w:t>
      </w:r>
    </w:p>
    <w:p>
      <w:pPr>
        <w:spacing w:beforeLines="50" w:after="0" w:afterLines="50"/>
        <w:rPr>
          <w:rFonts w:hint="eastAsia" w:eastAsia="宋体"/>
          <w:b/>
          <w:bCs/>
          <w:lang w:val="en-US" w:eastAsia="zh-CN"/>
        </w:rPr>
      </w:pPr>
      <w:r>
        <w:rPr>
          <w:rFonts w:hint="eastAsia" w:eastAsia="宋体"/>
          <w:b/>
          <w:bCs/>
          <w:lang w:val="en-US" w:eastAsia="zh-CN"/>
        </w:rPr>
        <w:t>Proposal 1: FR1 and FR2 shall be separately considered for Ku band in NR NTN.</w:t>
      </w:r>
    </w:p>
    <w:p>
      <w:pPr>
        <w:spacing w:beforeLines="50" w:after="0" w:afterLines="50"/>
        <w:rPr>
          <w:rFonts w:hint="eastAsia" w:eastAsia="宋体"/>
          <w:b/>
          <w:bCs/>
          <w:lang w:val="en-US" w:eastAsia="zh-CN"/>
        </w:rPr>
      </w:pPr>
      <w:r>
        <w:rPr>
          <w:rFonts w:hint="eastAsia" w:eastAsia="宋体"/>
          <w:b/>
          <w:bCs/>
          <w:lang w:val="en-US" w:eastAsia="zh-CN"/>
        </w:rPr>
        <w:t>Proposal 2: Only mobile VSAT UE shall be studied and fixed VSAT UE is precluded.</w:t>
      </w:r>
    </w:p>
    <w:p>
      <w:pPr>
        <w:spacing w:beforeLines="50" w:after="0" w:afterLines="50"/>
        <w:rPr>
          <w:rFonts w:hint="default" w:eastAsia="宋体"/>
          <w:b/>
          <w:bCs/>
          <w:lang w:val="en-US" w:eastAsia="zh-CN"/>
        </w:rPr>
      </w:pPr>
      <w:r>
        <w:rPr>
          <w:rFonts w:hint="eastAsia" w:eastAsia="宋体"/>
          <w:b/>
          <w:bCs/>
          <w:lang w:val="en-US" w:eastAsia="zh-CN"/>
        </w:rPr>
        <w:t xml:space="preserve">Proposal 3: For SCS, </w:t>
      </w:r>
      <w:r>
        <w:rPr>
          <w:rFonts w:hint="eastAsia" w:eastAsia="宋体"/>
          <w:b/>
          <w:bCs/>
          <w:sz w:val="22"/>
          <w:lang w:val="en-US" w:eastAsia="zh-CN"/>
        </w:rPr>
        <w:t>RAN4 shall only consider SCS=30kHz in FR1 and 120kHz in FR2.</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0" w:afterLines="0" w:line="360" w:lineRule="auto"/>
        <w:ind w:leftChars="0"/>
        <w:jc w:val="both"/>
        <w:textAlignment w:val="baseline"/>
        <w:rPr>
          <w:rFonts w:hint="eastAsia" w:eastAsia="宋体" w:cs="Times New Roman"/>
          <w:b/>
          <w:bCs/>
          <w:sz w:val="22"/>
          <w:lang w:val="en-US" w:eastAsia="zh-CN"/>
        </w:rPr>
      </w:pPr>
      <w:r>
        <w:rPr>
          <w:rFonts w:hint="eastAsia" w:eastAsia="宋体" w:cs="Times New Roman"/>
          <w:b/>
          <w:bCs/>
          <w:sz w:val="22"/>
          <w:lang w:val="en-US" w:eastAsia="zh-CN"/>
        </w:rPr>
        <w:t>Proposal 4: There are four cases shall be considered:</w:t>
      </w:r>
    </w:p>
    <w:p>
      <w:pPr>
        <w:numPr>
          <w:ilvl w:val="0"/>
          <w:numId w:val="5"/>
        </w:numPr>
        <w:spacing w:beforeLines="0" w:after="0" w:afterLines="50"/>
        <w:ind w:left="420" w:hanging="420"/>
        <w:rPr>
          <w:rFonts w:hint="eastAsia" w:eastAsia="宋体"/>
          <w:b/>
          <w:bCs/>
          <w:lang w:val="en-US" w:eastAsia="zh-CN"/>
        </w:rPr>
      </w:pPr>
      <w:r>
        <w:rPr>
          <w:rFonts w:hint="eastAsia" w:eastAsia="宋体"/>
          <w:b/>
          <w:bCs/>
          <w:lang w:val="en-US" w:eastAsia="zh-CN"/>
        </w:rPr>
        <w:t>Case 1: mobile VSAT UE served by GSO in FR1</w:t>
      </w:r>
    </w:p>
    <w:p>
      <w:pPr>
        <w:numPr>
          <w:ilvl w:val="0"/>
          <w:numId w:val="5"/>
        </w:numPr>
        <w:spacing w:beforeLines="50" w:after="0" w:afterLines="50"/>
        <w:ind w:left="420" w:hanging="420"/>
        <w:rPr>
          <w:rFonts w:hint="eastAsia" w:eastAsia="宋体"/>
          <w:b/>
          <w:bCs/>
          <w:lang w:val="en-US" w:eastAsia="zh-CN"/>
        </w:rPr>
      </w:pPr>
      <w:r>
        <w:rPr>
          <w:rFonts w:hint="eastAsia" w:eastAsia="宋体"/>
          <w:b/>
          <w:bCs/>
          <w:lang w:val="en-US" w:eastAsia="zh-CN"/>
        </w:rPr>
        <w:t>Case 2: mobile VSAT UE served by NGSO in FR1</w:t>
      </w:r>
    </w:p>
    <w:p>
      <w:pPr>
        <w:numPr>
          <w:ilvl w:val="0"/>
          <w:numId w:val="5"/>
        </w:numPr>
        <w:spacing w:beforeLines="50" w:after="0" w:afterLines="50"/>
        <w:ind w:left="420" w:hanging="420"/>
        <w:rPr>
          <w:rFonts w:hint="eastAsia" w:eastAsia="宋体"/>
          <w:b/>
          <w:bCs/>
          <w:lang w:val="en-US" w:eastAsia="zh-CN"/>
        </w:rPr>
      </w:pPr>
      <w:r>
        <w:rPr>
          <w:rFonts w:hint="eastAsia" w:eastAsia="宋体"/>
          <w:b/>
          <w:bCs/>
          <w:lang w:val="en-US" w:eastAsia="zh-CN"/>
        </w:rPr>
        <w:t>Case 3: mobile VSAT UE served by GSO in FR2</w:t>
      </w:r>
    </w:p>
    <w:p>
      <w:pPr>
        <w:numPr>
          <w:ilvl w:val="0"/>
          <w:numId w:val="5"/>
        </w:numPr>
        <w:spacing w:beforeLines="50" w:after="0" w:afterLines="50"/>
        <w:ind w:left="420" w:hanging="420"/>
        <w:rPr>
          <w:rFonts w:hint="eastAsia" w:eastAsia="宋体"/>
          <w:b/>
          <w:bCs/>
          <w:lang w:val="en-US" w:eastAsia="zh-CN"/>
        </w:rPr>
      </w:pPr>
      <w:r>
        <w:rPr>
          <w:rFonts w:hint="eastAsia" w:eastAsia="宋体"/>
          <w:b/>
          <w:bCs/>
          <w:lang w:val="en-US" w:eastAsia="zh-CN"/>
        </w:rPr>
        <w:t>Case 4: mobile VSAT UE served by NGSO in FR2</w:t>
      </w:r>
    </w:p>
    <w:p>
      <w:pPr>
        <w:pStyle w:val="4"/>
        <w:keepNext w:val="0"/>
        <w:keepLines w:val="0"/>
        <w:pageBreakBefore w:val="0"/>
        <w:widowControl/>
        <w:kinsoku/>
        <w:wordWrap/>
        <w:overflowPunct w:val="0"/>
        <w:topLinePunct w:val="0"/>
        <w:autoSpaceDE w:val="0"/>
        <w:autoSpaceDN w:val="0"/>
        <w:bidi w:val="0"/>
        <w:adjustRightInd w:val="0"/>
        <w:snapToGrid/>
        <w:spacing w:before="240" w:beforeLines="0" w:after="120" w:afterLines="0" w:line="240" w:lineRule="auto"/>
        <w:ind w:leftChars="0"/>
        <w:jc w:val="both"/>
        <w:textAlignment w:val="baseline"/>
        <w:rPr>
          <w:rFonts w:hint="default"/>
          <w:lang w:val="en-US" w:eastAsia="zh-CN"/>
        </w:rPr>
      </w:pPr>
      <w:r>
        <w:rPr>
          <w:rFonts w:hint="eastAsia"/>
          <w:lang w:val="en-US" w:eastAsia="zh-CN"/>
        </w:rPr>
        <w:t>2.1.2 RRM impact</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sz w:val="22"/>
          <w:lang w:val="en-US" w:eastAsia="zh-CN"/>
        </w:rPr>
      </w:pPr>
      <w:r>
        <w:rPr>
          <w:rFonts w:hint="eastAsia" w:eastAsia="宋体" w:cs="Times New Roman"/>
          <w:sz w:val="22"/>
          <w:lang w:val="en-US" w:eastAsia="zh-CN"/>
        </w:rPr>
        <w:t>First of all, the potential RRM requirements for Ku band could be studied as below:</w:t>
      </w:r>
    </w:p>
    <w:p>
      <w:pPr>
        <w:pStyle w:val="19"/>
        <w:keepNext/>
        <w:jc w:val="center"/>
      </w:pPr>
      <w:r>
        <w:t xml:space="preserve">Table </w:t>
      </w:r>
      <w:r>
        <w:rPr>
          <w:rFonts w:hint="eastAsia" w:eastAsia="宋体"/>
          <w:lang w:val="en-US" w:eastAsia="zh-CN"/>
        </w:rPr>
        <w:t>6</w:t>
      </w:r>
      <w:r>
        <w:rPr>
          <w:lang w:val="en-US"/>
        </w:rPr>
        <w:t xml:space="preserve"> Summary of RRM requirements which are possibly impacted by NTN operation in the NTN-K</w:t>
      </w:r>
      <w:r>
        <w:rPr>
          <w:rFonts w:hint="eastAsia" w:eastAsia="宋体"/>
          <w:lang w:val="en-US" w:eastAsia="zh-CN"/>
        </w:rPr>
        <w:t>u</w:t>
      </w:r>
      <w:r>
        <w:rPr>
          <w:lang w:val="en-US"/>
        </w:rPr>
        <w:t xml:space="preserve"> bands</w:t>
      </w:r>
    </w:p>
    <w:tbl>
      <w:tblPr>
        <w:tblStyle w:val="31"/>
        <w:tblW w:w="97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06"/>
        <w:gridCol w:w="5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1" w:type="dxa"/>
            <w:gridSpan w:val="2"/>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restart"/>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Cell reselection</w:t>
            </w: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UE measurement capability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Measurements on intra/inter-frequency NR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Calibri" w:hAnsi="Calibri" w:cs="Calibri"/>
                <w:sz w:val="18"/>
                <w:szCs w:val="18"/>
                <w:lang w:eastAsia="zh-CN"/>
              </w:rPr>
              <w:t>﻿</w:t>
            </w:r>
            <w:r>
              <w:rPr>
                <w:rFonts w:hint="default" w:ascii="Arial" w:hAnsi="Arial" w:cs="Arial"/>
                <w:sz w:val="18"/>
                <w:szCs w:val="18"/>
                <w:lang w:eastAsia="zh-CN"/>
              </w:rPr>
              <w:t>Maximum interruption in paging reception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Calibri" w:hAnsi="Calibri" w:cs="Calibri"/>
                <w:sz w:val="18"/>
                <w:szCs w:val="18"/>
                <w:lang w:eastAsia="zh-CN"/>
              </w:rPr>
              <w:t>﻿</w:t>
            </w:r>
            <w:r>
              <w:rPr>
                <w:rFonts w:hint="default" w:ascii="Arial" w:hAnsi="Arial" w:cs="Arial"/>
                <w:sz w:val="18"/>
                <w:szCs w:val="18"/>
                <w:lang w:eastAsia="zh-CN"/>
              </w:rPr>
              <w:t>Measurements of intra/inter-frequency NR cells for UE configured with relaxed measurement criterion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restart"/>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Handover</w:t>
            </w: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NR conditional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06" w:type="dxa"/>
            <w:vMerge w:val="continue"/>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Calibri" w:hAnsi="Calibri" w:cs="Calibri"/>
                <w:sz w:val="18"/>
                <w:szCs w:val="18"/>
                <w:lang w:eastAsia="zh-CN"/>
              </w:rPr>
              <w:t>﻿</w:t>
            </w:r>
            <w:r>
              <w:rPr>
                <w:rFonts w:hint="default" w:ascii="Arial" w:hAnsi="Arial" w:cs="Arial"/>
                <w:sz w:val="18"/>
                <w:szCs w:val="18"/>
                <w:lang w:eastAsia="zh-CN"/>
              </w:rPr>
              <w:t>RRC Connection Mobility Control: RRC re-establishment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restart"/>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Timing</w:t>
            </w: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UE transmit timing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UE timer accuracy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Timing advance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restart"/>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Signaling</w:t>
            </w: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RLM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BWP switch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TCI state switch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restart"/>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Measurement procedure</w:t>
            </w: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UE Measurement capability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Intra/inter-frequency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L1-RSRP measurements</w:t>
            </w:r>
          </w:p>
        </w:tc>
      </w:tr>
    </w:tbl>
    <w:p>
      <w:pPr>
        <w:numPr>
          <w:ilvl w:val="0"/>
          <w:numId w:val="0"/>
        </w:numPr>
        <w:overflowPunct w:val="0"/>
        <w:autoSpaceDE w:val="0"/>
        <w:autoSpaceDN w:val="0"/>
        <w:adjustRightInd w:val="0"/>
        <w:spacing w:before="120" w:beforeLines="0" w:after="120" w:afterLines="0" w:line="240" w:lineRule="auto"/>
        <w:jc w:val="both"/>
        <w:textAlignment w:val="baseline"/>
        <w:rPr>
          <w:rFonts w:hint="default" w:eastAsia="宋体"/>
          <w:sz w:val="22"/>
          <w:lang w:val="en-US" w:eastAsia="zh-CN"/>
        </w:rPr>
      </w:pPr>
      <w:r>
        <w:rPr>
          <w:rFonts w:hint="eastAsia" w:eastAsia="宋体"/>
          <w:sz w:val="22"/>
          <w:lang w:val="en-US" w:eastAsia="zh-CN"/>
        </w:rPr>
        <w:t>To my understanding, R17 NR NTN related requirements shall be reused or as baseline when we define the FR1-NTN requirements for Ku bands. On the contrary, R18 NR NTN related requirements shall be reused or as baseline when we define the FR2-NTN requirements for Ku bands including timing requirements served by NGSO.</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b/>
          <w:bCs/>
          <w:sz w:val="22"/>
          <w:lang w:val="en-US" w:eastAsia="zh-CN"/>
        </w:rPr>
      </w:pPr>
      <w:r>
        <w:rPr>
          <w:rFonts w:hint="eastAsia" w:eastAsia="宋体" w:cs="Times New Roman"/>
          <w:b/>
          <w:bCs/>
          <w:sz w:val="22"/>
          <w:lang w:val="en-US" w:eastAsia="zh-CN"/>
        </w:rPr>
        <w:t>Proposal 5: The potential RRM requirements could be seen as below:</w:t>
      </w:r>
    </w:p>
    <w:tbl>
      <w:tblPr>
        <w:tblStyle w:val="30"/>
        <w:tblW w:w="97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06"/>
        <w:gridCol w:w="5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1" w:type="dxa"/>
            <w:gridSpan w:val="2"/>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restart"/>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Cell reselection</w:t>
            </w: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UE measurement capability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Measurements on intra/inter-frequency NR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Calibri" w:hAnsi="Calibri" w:cs="Calibri"/>
                <w:sz w:val="18"/>
                <w:szCs w:val="18"/>
                <w:lang w:eastAsia="zh-CN"/>
              </w:rPr>
              <w:t>﻿</w:t>
            </w:r>
            <w:r>
              <w:rPr>
                <w:rFonts w:hint="default" w:ascii="Arial" w:hAnsi="Arial" w:cs="Arial"/>
                <w:sz w:val="18"/>
                <w:szCs w:val="18"/>
                <w:lang w:eastAsia="zh-CN"/>
              </w:rPr>
              <w:t>Maximum interruption in paging reception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Calibri" w:hAnsi="Calibri" w:cs="Calibri"/>
                <w:sz w:val="18"/>
                <w:szCs w:val="18"/>
                <w:lang w:eastAsia="zh-CN"/>
              </w:rPr>
              <w:t>﻿</w:t>
            </w:r>
            <w:r>
              <w:rPr>
                <w:rFonts w:hint="default" w:ascii="Arial" w:hAnsi="Arial" w:cs="Arial"/>
                <w:sz w:val="18"/>
                <w:szCs w:val="18"/>
                <w:lang w:eastAsia="zh-CN"/>
              </w:rPr>
              <w:t>Measurements of intra/inter-frequency NR cells for UE configured with relaxed measurement criterion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restart"/>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Handover</w:t>
            </w: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NR conditional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Calibri" w:hAnsi="Calibri" w:cs="Calibri"/>
                <w:sz w:val="18"/>
                <w:szCs w:val="18"/>
                <w:lang w:eastAsia="zh-CN"/>
              </w:rPr>
              <w:t>﻿</w:t>
            </w:r>
            <w:r>
              <w:rPr>
                <w:rFonts w:hint="default" w:ascii="Arial" w:hAnsi="Arial" w:cs="Arial"/>
                <w:sz w:val="18"/>
                <w:szCs w:val="18"/>
                <w:lang w:eastAsia="zh-CN"/>
              </w:rPr>
              <w:t>RRC Connection Mobility Control: RRC re-establishment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restart"/>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Timing</w:t>
            </w: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UE transmit timing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UE timer accuracy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Timing advance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restart"/>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Signaling</w:t>
            </w: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RLM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BWP switch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TCI state switch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restart"/>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Measurement procedure</w:t>
            </w: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UE Measurement capability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Intra/inter-frequency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L1-RSRP measurements</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default" w:eastAsia="宋体" w:cs="Times New Roman"/>
          <w:b/>
          <w:bCs/>
          <w:sz w:val="22"/>
          <w:lang w:val="en-US" w:eastAsia="zh-CN"/>
        </w:rPr>
      </w:pPr>
      <w:r>
        <w:rPr>
          <w:rFonts w:hint="eastAsia" w:eastAsia="宋体" w:cs="Times New Roman"/>
          <w:b/>
          <w:bCs/>
          <w:sz w:val="22"/>
          <w:lang w:val="en-US" w:eastAsia="zh-CN"/>
        </w:rPr>
        <w:t>Proposal 6: R17 NR NTN related requirements shall be reused or as baseline when we define the FR1-NTN requirements for Ku bands. On the contrary, R18 NR NTN related requirements shall be reused or as baseline when we define the FR2-NTN requirements for Ku bands.</w:t>
      </w:r>
    </w:p>
    <w:p>
      <w:pPr>
        <w:pStyle w:val="77"/>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requirements on R19 NR NTN enhancement</w:t>
      </w:r>
      <w:r>
        <w:rPr>
          <w:rFonts w:eastAsia="宋体"/>
          <w:lang w:eastAsia="zh-CN"/>
        </w:rPr>
        <w:t>.</w:t>
      </w:r>
    </w:p>
    <w:p>
      <w:pPr>
        <w:spacing w:beforeLines="50" w:after="0" w:afterLines="50"/>
        <w:rPr>
          <w:rFonts w:hint="eastAsia" w:eastAsia="宋体"/>
          <w:b/>
          <w:bCs/>
          <w:lang w:val="en-US" w:eastAsia="zh-CN"/>
        </w:rPr>
      </w:pPr>
      <w:r>
        <w:rPr>
          <w:rFonts w:hint="eastAsia" w:eastAsia="宋体"/>
          <w:b/>
          <w:bCs/>
          <w:lang w:val="en-US" w:eastAsia="zh-CN"/>
        </w:rPr>
        <w:t>Proposal 1: FR1 and FR2 shall be both considered for Ku band in NR NTN.</w:t>
      </w:r>
    </w:p>
    <w:p>
      <w:pPr>
        <w:spacing w:beforeLines="50" w:after="0" w:afterLines="50"/>
        <w:rPr>
          <w:rFonts w:hint="eastAsia" w:eastAsia="宋体"/>
          <w:b/>
          <w:bCs/>
          <w:lang w:val="en-US" w:eastAsia="zh-CN"/>
        </w:rPr>
      </w:pPr>
      <w:r>
        <w:rPr>
          <w:rFonts w:hint="eastAsia" w:eastAsia="宋体"/>
          <w:b/>
          <w:bCs/>
          <w:lang w:val="en-US" w:eastAsia="zh-CN"/>
        </w:rPr>
        <w:t>Proposal 2: Only mobile VSAT UE shall be studied and fixed VSAT UE is precluded.</w:t>
      </w:r>
    </w:p>
    <w:p>
      <w:pPr>
        <w:spacing w:beforeLines="50" w:after="0" w:afterLines="50"/>
        <w:rPr>
          <w:rFonts w:hint="default" w:eastAsia="宋体"/>
          <w:b/>
          <w:bCs/>
          <w:lang w:val="en-US" w:eastAsia="zh-CN"/>
        </w:rPr>
      </w:pPr>
      <w:r>
        <w:rPr>
          <w:rFonts w:hint="eastAsia" w:eastAsia="宋体"/>
          <w:b/>
          <w:bCs/>
          <w:lang w:val="en-US" w:eastAsia="zh-CN"/>
        </w:rPr>
        <w:t xml:space="preserve">Proposal 3: For SCS, </w:t>
      </w:r>
      <w:r>
        <w:rPr>
          <w:rFonts w:hint="eastAsia" w:eastAsia="宋体"/>
          <w:b/>
          <w:bCs/>
          <w:sz w:val="22"/>
          <w:lang w:val="en-US" w:eastAsia="zh-CN"/>
        </w:rPr>
        <w:t>RAN4 shall only consider SCS=30kHz in FR1 and 120kHz in FR2.</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0" w:afterLines="0" w:line="360" w:lineRule="auto"/>
        <w:ind w:leftChars="0"/>
        <w:jc w:val="both"/>
        <w:textAlignment w:val="baseline"/>
        <w:rPr>
          <w:rFonts w:hint="eastAsia" w:eastAsia="宋体" w:cs="Times New Roman"/>
          <w:b/>
          <w:bCs/>
          <w:sz w:val="22"/>
          <w:lang w:val="en-US" w:eastAsia="zh-CN"/>
        </w:rPr>
      </w:pPr>
      <w:r>
        <w:rPr>
          <w:rFonts w:hint="eastAsia" w:eastAsia="宋体" w:cs="Times New Roman"/>
          <w:b/>
          <w:bCs/>
          <w:sz w:val="22"/>
          <w:lang w:val="en-US" w:eastAsia="zh-CN"/>
        </w:rPr>
        <w:t>Proposal 4: There are four cases shall be considered:</w:t>
      </w:r>
    </w:p>
    <w:p>
      <w:pPr>
        <w:numPr>
          <w:ilvl w:val="0"/>
          <w:numId w:val="5"/>
        </w:numPr>
        <w:spacing w:beforeLines="0" w:after="0" w:afterLines="50"/>
        <w:ind w:left="420" w:hanging="420"/>
        <w:rPr>
          <w:rFonts w:hint="eastAsia" w:eastAsia="宋体"/>
          <w:b/>
          <w:bCs/>
          <w:lang w:val="en-US" w:eastAsia="zh-CN"/>
        </w:rPr>
      </w:pPr>
      <w:r>
        <w:rPr>
          <w:rFonts w:hint="eastAsia" w:eastAsia="宋体"/>
          <w:b/>
          <w:bCs/>
          <w:lang w:val="en-US" w:eastAsia="zh-CN"/>
        </w:rPr>
        <w:t>Case 1: mobile VSAT UE served by GSO in FR1</w:t>
      </w:r>
    </w:p>
    <w:p>
      <w:pPr>
        <w:numPr>
          <w:ilvl w:val="0"/>
          <w:numId w:val="5"/>
        </w:numPr>
        <w:spacing w:beforeLines="50" w:after="0" w:afterLines="50"/>
        <w:ind w:left="420" w:hanging="420"/>
        <w:rPr>
          <w:rFonts w:hint="eastAsia" w:eastAsia="宋体"/>
          <w:b/>
          <w:bCs/>
          <w:lang w:val="en-US" w:eastAsia="zh-CN"/>
        </w:rPr>
      </w:pPr>
      <w:r>
        <w:rPr>
          <w:rFonts w:hint="eastAsia" w:eastAsia="宋体"/>
          <w:b/>
          <w:bCs/>
          <w:lang w:val="en-US" w:eastAsia="zh-CN"/>
        </w:rPr>
        <w:t>Case 2: mobile VSAT UE served by NGSO in FR1</w:t>
      </w:r>
    </w:p>
    <w:p>
      <w:pPr>
        <w:numPr>
          <w:ilvl w:val="0"/>
          <w:numId w:val="5"/>
        </w:numPr>
        <w:spacing w:beforeLines="50" w:after="0" w:afterLines="50"/>
        <w:ind w:left="420" w:hanging="420"/>
        <w:rPr>
          <w:rFonts w:hint="eastAsia" w:eastAsia="宋体"/>
          <w:b/>
          <w:bCs/>
          <w:lang w:val="en-US" w:eastAsia="zh-CN"/>
        </w:rPr>
      </w:pPr>
      <w:r>
        <w:rPr>
          <w:rFonts w:hint="eastAsia" w:eastAsia="宋体"/>
          <w:b/>
          <w:bCs/>
          <w:lang w:val="en-US" w:eastAsia="zh-CN"/>
        </w:rPr>
        <w:t>Case 3: mobile VSAT UE served by GSO in FR2</w:t>
      </w:r>
    </w:p>
    <w:p>
      <w:pPr>
        <w:numPr>
          <w:ilvl w:val="0"/>
          <w:numId w:val="5"/>
        </w:numPr>
        <w:spacing w:beforeLines="50" w:after="0" w:afterLines="50"/>
        <w:ind w:left="420" w:hanging="420"/>
        <w:rPr>
          <w:rFonts w:hint="eastAsia" w:eastAsia="宋体"/>
          <w:b/>
          <w:bCs/>
          <w:lang w:val="en-US" w:eastAsia="zh-CN"/>
        </w:rPr>
      </w:pPr>
      <w:r>
        <w:rPr>
          <w:rFonts w:hint="eastAsia" w:eastAsia="宋体"/>
          <w:b/>
          <w:bCs/>
          <w:lang w:val="en-US" w:eastAsia="zh-CN"/>
        </w:rPr>
        <w:t>Case 4: mobile VSAT UE served by NGSO in FR2</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b/>
          <w:bCs/>
          <w:sz w:val="22"/>
          <w:lang w:val="en-US" w:eastAsia="zh-CN"/>
        </w:rPr>
      </w:pPr>
      <w:r>
        <w:rPr>
          <w:rFonts w:hint="eastAsia" w:eastAsia="宋体" w:cs="Times New Roman"/>
          <w:b/>
          <w:bCs/>
          <w:sz w:val="22"/>
          <w:lang w:val="en-US" w:eastAsia="zh-CN"/>
        </w:rPr>
        <w:t>Proposal 5: The potential RRM requirements could be seen as below:</w:t>
      </w:r>
    </w:p>
    <w:tbl>
      <w:tblPr>
        <w:tblStyle w:val="30"/>
        <w:tblW w:w="97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06"/>
        <w:gridCol w:w="5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1" w:type="dxa"/>
            <w:gridSpan w:val="2"/>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restart"/>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Cell reselection</w:t>
            </w: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UE measurement capability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Measurements on intra/inter-frequency NR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Calibri" w:hAnsi="Calibri" w:cs="Calibri"/>
                <w:sz w:val="18"/>
                <w:szCs w:val="18"/>
                <w:lang w:eastAsia="zh-CN"/>
              </w:rPr>
              <w:t>﻿</w:t>
            </w:r>
            <w:r>
              <w:rPr>
                <w:rFonts w:hint="default" w:ascii="Arial" w:hAnsi="Arial" w:cs="Arial"/>
                <w:sz w:val="18"/>
                <w:szCs w:val="18"/>
                <w:lang w:eastAsia="zh-CN"/>
              </w:rPr>
              <w:t>Maximum interruption in paging reception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Calibri" w:hAnsi="Calibri" w:cs="Calibri"/>
                <w:sz w:val="18"/>
                <w:szCs w:val="18"/>
                <w:lang w:eastAsia="zh-CN"/>
              </w:rPr>
              <w:t>﻿</w:t>
            </w:r>
            <w:r>
              <w:rPr>
                <w:rFonts w:hint="default" w:ascii="Arial" w:hAnsi="Arial" w:cs="Arial"/>
                <w:sz w:val="18"/>
                <w:szCs w:val="18"/>
                <w:lang w:eastAsia="zh-CN"/>
              </w:rPr>
              <w:t>Measurements of intra/inter-frequency NR cells for UE configured with relaxed measurement criterion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restart"/>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Handover</w:t>
            </w: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NR conditional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Calibri" w:hAnsi="Calibri" w:cs="Calibri"/>
                <w:sz w:val="18"/>
                <w:szCs w:val="18"/>
                <w:lang w:eastAsia="zh-CN"/>
              </w:rPr>
              <w:t>﻿</w:t>
            </w:r>
            <w:r>
              <w:rPr>
                <w:rFonts w:hint="default" w:ascii="Arial" w:hAnsi="Arial" w:cs="Arial"/>
                <w:sz w:val="18"/>
                <w:szCs w:val="18"/>
                <w:lang w:eastAsia="zh-CN"/>
              </w:rPr>
              <w:t>RRC Connection Mobility Control: RRC re-establishment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restart"/>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Timing</w:t>
            </w: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UE transmit timing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UE timer accuracy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Timing advance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restart"/>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Signaling</w:t>
            </w: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RLM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BWP switch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TCI state switch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restart"/>
          </w:tcPr>
          <w:p>
            <w:pPr>
              <w:keepNext w:val="0"/>
              <w:keepLines w:val="0"/>
              <w:widowControl/>
              <w:suppressLineNumbers w:val="0"/>
              <w:spacing w:before="0" w:beforeAutospacing="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Measurement procedure</w:t>
            </w: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UE Measurement capability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Intra/inter-frequency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6" w:type="dxa"/>
            <w:vMerge w:val="continue"/>
          </w:tcPr>
          <w:p>
            <w:pPr>
              <w:keepNext w:val="0"/>
              <w:keepLines w:val="0"/>
              <w:widowControl/>
              <w:suppressLineNumbers w:val="0"/>
              <w:spacing w:before="0" w:beforeAutospacing="0" w:afterAutospacing="0"/>
              <w:ind w:left="0" w:right="0"/>
              <w:rPr>
                <w:rFonts w:hint="default" w:ascii="Arial" w:hAnsi="Arial" w:cs="Arial"/>
                <w:b/>
                <w:bCs/>
                <w:sz w:val="18"/>
                <w:szCs w:val="18"/>
                <w:lang w:eastAsia="zh-CN"/>
              </w:rPr>
            </w:pPr>
          </w:p>
        </w:tc>
        <w:tc>
          <w:tcPr>
            <w:tcW w:w="5585" w:type="dxa"/>
          </w:tcPr>
          <w:p>
            <w:pPr>
              <w:keepNext w:val="0"/>
              <w:keepLines w:val="0"/>
              <w:widowControl/>
              <w:suppressLineNumbers w:val="0"/>
              <w:spacing w:before="0" w:beforeAutospacing="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L1-RSRP measurements</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b/>
          <w:bCs/>
          <w:sz w:val="22"/>
          <w:szCs w:val="22"/>
          <w:lang w:val="en-US" w:eastAsia="zh-CN"/>
        </w:rPr>
      </w:pPr>
      <w:r>
        <w:rPr>
          <w:rFonts w:hint="eastAsia" w:eastAsia="宋体" w:cs="Times New Roman"/>
          <w:b/>
          <w:bCs/>
          <w:sz w:val="22"/>
          <w:lang w:val="en-US" w:eastAsia="zh-CN"/>
        </w:rPr>
        <w:t>Proposal 6: R17 NR NTN related requirements shall be reused or as baseline when we define the FR1-NTN requirements for Ku bands. On the contrary, R18 NR NTN related requirements shall be reused or as baseline when we define the FR2-NTN requirements for Ku bands.</w:t>
      </w:r>
    </w:p>
    <w:p>
      <w:pPr>
        <w:pStyle w:val="77"/>
        <w:numPr>
          <w:ilvl w:val="0"/>
          <w:numId w:val="0"/>
        </w:numPr>
        <w:ind w:left="360" w:hanging="360"/>
        <w:rPr>
          <w:lang w:val="en-US"/>
        </w:rPr>
      </w:pPr>
      <w:r>
        <w:rPr>
          <w:lang w:val="en-US"/>
        </w:rPr>
        <w:t>References</w:t>
      </w:r>
    </w:p>
    <w:p>
      <w:pPr>
        <w:rPr>
          <w:rFonts w:hint="default"/>
          <w:lang w:val="en-US"/>
        </w:rPr>
      </w:pPr>
      <w:bookmarkStart w:id="4" w:name="_Ref114500673"/>
      <w:bookmarkEnd w:id="4"/>
      <w:r>
        <w:rPr>
          <w:rFonts w:hint="eastAsia" w:eastAsia="宋体"/>
          <w:lang w:val="en-US" w:eastAsia="zh-CN"/>
        </w:rPr>
        <w:t xml:space="preserve">[1] </w:t>
      </w:r>
      <w:r>
        <w:t>RP-2</w:t>
      </w:r>
      <w:r>
        <w:rPr>
          <w:rFonts w:hint="eastAsia" w:eastAsia="宋体"/>
          <w:lang w:val="en-US" w:eastAsia="zh-CN"/>
        </w:rPr>
        <w:t>43314</w:t>
      </w:r>
      <w:r>
        <w:rPr>
          <w:rFonts w:hint="eastAsia"/>
          <w:lang w:eastAsia="zh-CN"/>
        </w:rPr>
        <w:t>,</w:t>
      </w:r>
      <w:r>
        <w:rPr>
          <w:lang w:eastAsia="zh-CN"/>
        </w:rPr>
        <w:t xml:space="preserve"> </w:t>
      </w:r>
      <w:r>
        <w:rPr>
          <w:rFonts w:hint="eastAsia"/>
          <w:lang w:eastAsia="zh-CN"/>
        </w:rPr>
        <w:t xml:space="preserve">Revised WID: </w:t>
      </w:r>
      <w:r>
        <w:rPr>
          <w:rFonts w:hint="eastAsia"/>
          <w:lang w:val="en-US" w:eastAsia="zh-CN"/>
        </w:rPr>
        <w:t>Introduction of Ku bands for NR NTN.</w:t>
      </w:r>
    </w:p>
    <w:p>
      <w:pPr>
        <w:keepNext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default"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PMingLiU">
    <w:altName w:val="Microsoft JhengHei"/>
    <w:panose1 w:val="02010601000101010101"/>
    <w:charset w:val="88"/>
    <w:family w:val="auto"/>
    <w:pitch w:val="default"/>
    <w:sig w:usb0="00000000" w:usb1="00000000" w:usb2="00000010" w:usb3="00000000" w:csb0="00100000"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icrosoft JhengHe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8942D6"/>
    <w:multiLevelType w:val="multilevel"/>
    <w:tmpl w:val="918942D6"/>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CF33B02F"/>
    <w:multiLevelType w:val="multilevel"/>
    <w:tmpl w:val="CF33B02F"/>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2">
    <w:nsid w:val="F096C664"/>
    <w:multiLevelType w:val="singleLevel"/>
    <w:tmpl w:val="F096C664"/>
    <w:lvl w:ilvl="0" w:tentative="0">
      <w:start w:val="1"/>
      <w:numFmt w:val="bullet"/>
      <w:lvlText w:val=""/>
      <w:lvlJc w:val="left"/>
      <w:pPr>
        <w:ind w:left="420" w:hanging="420"/>
      </w:pPr>
      <w:rPr>
        <w:rFonts w:hint="default" w:ascii="Wingdings" w:hAnsi="Wingdings"/>
      </w:rPr>
    </w:lvl>
  </w:abstractNum>
  <w:abstractNum w:abstractNumId="3">
    <w:nsid w:val="4D6E3167"/>
    <w:multiLevelType w:val="multilevel"/>
    <w:tmpl w:val="4D6E3167"/>
    <w:lvl w:ilvl="0" w:tentative="0">
      <w:start w:val="1"/>
      <w:numFmt w:val="decimal"/>
      <w:pStyle w:val="80"/>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4">
    <w:nsid w:val="665C217B"/>
    <w:multiLevelType w:val="multilevel"/>
    <w:tmpl w:val="665C217B"/>
    <w:lvl w:ilvl="0" w:tentative="0">
      <w:start w:val="1"/>
      <w:numFmt w:val="decimal"/>
      <w:pStyle w:val="77"/>
      <w:lvlText w:val="%1"/>
      <w:lvlJc w:val="left"/>
      <w:pPr>
        <w:ind w:left="360" w:hanging="360"/>
      </w:pPr>
      <w:rPr>
        <w:rFonts w:hint="default"/>
      </w:rPr>
    </w:lvl>
    <w:lvl w:ilvl="1" w:tentative="0">
      <w:start w:val="1"/>
      <w:numFmt w:val="decimal"/>
      <w:pStyle w:val="79"/>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5F6"/>
    <w:rsid w:val="00051834"/>
    <w:rsid w:val="00054A22"/>
    <w:rsid w:val="00056A26"/>
    <w:rsid w:val="00062023"/>
    <w:rsid w:val="000655A6"/>
    <w:rsid w:val="00080512"/>
    <w:rsid w:val="000C47C3"/>
    <w:rsid w:val="000D58AB"/>
    <w:rsid w:val="0011507D"/>
    <w:rsid w:val="00133525"/>
    <w:rsid w:val="00167FF6"/>
    <w:rsid w:val="001A4C42"/>
    <w:rsid w:val="001A7420"/>
    <w:rsid w:val="001B6637"/>
    <w:rsid w:val="001C21C3"/>
    <w:rsid w:val="001D02C2"/>
    <w:rsid w:val="001F0C1D"/>
    <w:rsid w:val="001F1132"/>
    <w:rsid w:val="001F168B"/>
    <w:rsid w:val="0021140F"/>
    <w:rsid w:val="002347A2"/>
    <w:rsid w:val="002675F0"/>
    <w:rsid w:val="002840A1"/>
    <w:rsid w:val="002B6339"/>
    <w:rsid w:val="002E00EE"/>
    <w:rsid w:val="003172DC"/>
    <w:rsid w:val="0033338C"/>
    <w:rsid w:val="0035462D"/>
    <w:rsid w:val="003765B8"/>
    <w:rsid w:val="00384CDA"/>
    <w:rsid w:val="003A71A1"/>
    <w:rsid w:val="003C3971"/>
    <w:rsid w:val="003D429A"/>
    <w:rsid w:val="00423334"/>
    <w:rsid w:val="004345EC"/>
    <w:rsid w:val="0044364B"/>
    <w:rsid w:val="00454360"/>
    <w:rsid w:val="00465515"/>
    <w:rsid w:val="004929E3"/>
    <w:rsid w:val="004B2A74"/>
    <w:rsid w:val="004C61CE"/>
    <w:rsid w:val="004D3578"/>
    <w:rsid w:val="004E213A"/>
    <w:rsid w:val="004F0988"/>
    <w:rsid w:val="004F3340"/>
    <w:rsid w:val="0053388B"/>
    <w:rsid w:val="00535773"/>
    <w:rsid w:val="00543E6C"/>
    <w:rsid w:val="00546D44"/>
    <w:rsid w:val="0056254B"/>
    <w:rsid w:val="00565087"/>
    <w:rsid w:val="0057305F"/>
    <w:rsid w:val="00586E2E"/>
    <w:rsid w:val="00597B11"/>
    <w:rsid w:val="005D2E01"/>
    <w:rsid w:val="005D7526"/>
    <w:rsid w:val="005E4BB2"/>
    <w:rsid w:val="00602AEA"/>
    <w:rsid w:val="00614FDF"/>
    <w:rsid w:val="00631B7B"/>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A7AA8"/>
    <w:rsid w:val="007B600E"/>
    <w:rsid w:val="007F0F4A"/>
    <w:rsid w:val="008028A4"/>
    <w:rsid w:val="00830747"/>
    <w:rsid w:val="0083684A"/>
    <w:rsid w:val="008768CA"/>
    <w:rsid w:val="00885367"/>
    <w:rsid w:val="008A6463"/>
    <w:rsid w:val="008C384C"/>
    <w:rsid w:val="008F431E"/>
    <w:rsid w:val="0090271F"/>
    <w:rsid w:val="00902E23"/>
    <w:rsid w:val="009114D7"/>
    <w:rsid w:val="0091348E"/>
    <w:rsid w:val="00917CCB"/>
    <w:rsid w:val="00942EC2"/>
    <w:rsid w:val="00961F49"/>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D1CB4"/>
    <w:rsid w:val="00AE65E2"/>
    <w:rsid w:val="00B15449"/>
    <w:rsid w:val="00B66DD7"/>
    <w:rsid w:val="00B67352"/>
    <w:rsid w:val="00B81824"/>
    <w:rsid w:val="00B93086"/>
    <w:rsid w:val="00B93FB3"/>
    <w:rsid w:val="00BA19ED"/>
    <w:rsid w:val="00BA4B8D"/>
    <w:rsid w:val="00BC0519"/>
    <w:rsid w:val="00BC0F7D"/>
    <w:rsid w:val="00BD7D31"/>
    <w:rsid w:val="00BE3255"/>
    <w:rsid w:val="00BF128E"/>
    <w:rsid w:val="00C074DD"/>
    <w:rsid w:val="00C1496A"/>
    <w:rsid w:val="00C33079"/>
    <w:rsid w:val="00C41F2A"/>
    <w:rsid w:val="00C45231"/>
    <w:rsid w:val="00C72833"/>
    <w:rsid w:val="00C80F1D"/>
    <w:rsid w:val="00C93F40"/>
    <w:rsid w:val="00CA3D0C"/>
    <w:rsid w:val="00CB0749"/>
    <w:rsid w:val="00CC4BC3"/>
    <w:rsid w:val="00CD2E3D"/>
    <w:rsid w:val="00D12A57"/>
    <w:rsid w:val="00D24228"/>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82959"/>
    <w:rsid w:val="00EA15B0"/>
    <w:rsid w:val="00EA5EA7"/>
    <w:rsid w:val="00EC4A25"/>
    <w:rsid w:val="00EF13CA"/>
    <w:rsid w:val="00F025A2"/>
    <w:rsid w:val="00F04712"/>
    <w:rsid w:val="00F13360"/>
    <w:rsid w:val="00F22EC7"/>
    <w:rsid w:val="00F325C8"/>
    <w:rsid w:val="00F653B8"/>
    <w:rsid w:val="00F76708"/>
    <w:rsid w:val="00F80895"/>
    <w:rsid w:val="00F9008D"/>
    <w:rsid w:val="00FA1266"/>
    <w:rsid w:val="00FA4E78"/>
    <w:rsid w:val="00FC1192"/>
    <w:rsid w:val="011629BA"/>
    <w:rsid w:val="01295F0D"/>
    <w:rsid w:val="01410DC2"/>
    <w:rsid w:val="01536085"/>
    <w:rsid w:val="0158163D"/>
    <w:rsid w:val="01652E48"/>
    <w:rsid w:val="018F1743"/>
    <w:rsid w:val="018F25C8"/>
    <w:rsid w:val="01906A5B"/>
    <w:rsid w:val="01907C39"/>
    <w:rsid w:val="01E70C97"/>
    <w:rsid w:val="01EA15CF"/>
    <w:rsid w:val="0227513D"/>
    <w:rsid w:val="02402E7C"/>
    <w:rsid w:val="02505886"/>
    <w:rsid w:val="02667EA7"/>
    <w:rsid w:val="029011A2"/>
    <w:rsid w:val="029C2FAD"/>
    <w:rsid w:val="02A03627"/>
    <w:rsid w:val="02DB4554"/>
    <w:rsid w:val="02EC4357"/>
    <w:rsid w:val="02EE768C"/>
    <w:rsid w:val="02FA1082"/>
    <w:rsid w:val="031778E0"/>
    <w:rsid w:val="0327096F"/>
    <w:rsid w:val="032A315A"/>
    <w:rsid w:val="03481CC2"/>
    <w:rsid w:val="034E163D"/>
    <w:rsid w:val="037A1871"/>
    <w:rsid w:val="03A1038B"/>
    <w:rsid w:val="03BF3D9F"/>
    <w:rsid w:val="03C80AD2"/>
    <w:rsid w:val="03C95263"/>
    <w:rsid w:val="03F0584F"/>
    <w:rsid w:val="03FB5627"/>
    <w:rsid w:val="04076F95"/>
    <w:rsid w:val="04242812"/>
    <w:rsid w:val="04383CC9"/>
    <w:rsid w:val="04421BA4"/>
    <w:rsid w:val="04455C06"/>
    <w:rsid w:val="044B12E0"/>
    <w:rsid w:val="045E041F"/>
    <w:rsid w:val="046301A2"/>
    <w:rsid w:val="046D095B"/>
    <w:rsid w:val="04732FB8"/>
    <w:rsid w:val="04871DE8"/>
    <w:rsid w:val="048F6485"/>
    <w:rsid w:val="04A12403"/>
    <w:rsid w:val="04A815F7"/>
    <w:rsid w:val="04AD06A4"/>
    <w:rsid w:val="04BD1E3A"/>
    <w:rsid w:val="050C7718"/>
    <w:rsid w:val="05214F03"/>
    <w:rsid w:val="055E02FB"/>
    <w:rsid w:val="056A3BE2"/>
    <w:rsid w:val="05AE2916"/>
    <w:rsid w:val="05B105BF"/>
    <w:rsid w:val="05B1379B"/>
    <w:rsid w:val="05C6466C"/>
    <w:rsid w:val="05CA02F3"/>
    <w:rsid w:val="05DB67C3"/>
    <w:rsid w:val="05DE172A"/>
    <w:rsid w:val="05F02736"/>
    <w:rsid w:val="06026AB1"/>
    <w:rsid w:val="060D0D66"/>
    <w:rsid w:val="062C2061"/>
    <w:rsid w:val="06311BAC"/>
    <w:rsid w:val="067C67DB"/>
    <w:rsid w:val="068158A4"/>
    <w:rsid w:val="06895B05"/>
    <w:rsid w:val="069071A1"/>
    <w:rsid w:val="06910540"/>
    <w:rsid w:val="07007517"/>
    <w:rsid w:val="07073FA3"/>
    <w:rsid w:val="07171EC2"/>
    <w:rsid w:val="072F7FC6"/>
    <w:rsid w:val="0732584E"/>
    <w:rsid w:val="073F724E"/>
    <w:rsid w:val="075A7EF6"/>
    <w:rsid w:val="076202A2"/>
    <w:rsid w:val="076A2A73"/>
    <w:rsid w:val="07AE506C"/>
    <w:rsid w:val="07C22AAD"/>
    <w:rsid w:val="07C3764D"/>
    <w:rsid w:val="07E268EA"/>
    <w:rsid w:val="07F66AC5"/>
    <w:rsid w:val="0833764C"/>
    <w:rsid w:val="084677D5"/>
    <w:rsid w:val="0848005E"/>
    <w:rsid w:val="084B1A9E"/>
    <w:rsid w:val="084C657D"/>
    <w:rsid w:val="084D12F0"/>
    <w:rsid w:val="087B6B61"/>
    <w:rsid w:val="087E40F9"/>
    <w:rsid w:val="08916AA8"/>
    <w:rsid w:val="089F664F"/>
    <w:rsid w:val="08A203F3"/>
    <w:rsid w:val="08AF00C1"/>
    <w:rsid w:val="08B531C0"/>
    <w:rsid w:val="08BB1078"/>
    <w:rsid w:val="08BD1F16"/>
    <w:rsid w:val="08D53034"/>
    <w:rsid w:val="08DA28B3"/>
    <w:rsid w:val="08DD2BEF"/>
    <w:rsid w:val="0903652D"/>
    <w:rsid w:val="090556C6"/>
    <w:rsid w:val="09104DCD"/>
    <w:rsid w:val="094C40B4"/>
    <w:rsid w:val="095F4CFB"/>
    <w:rsid w:val="09606948"/>
    <w:rsid w:val="096E0D4F"/>
    <w:rsid w:val="09736AE0"/>
    <w:rsid w:val="098F25F4"/>
    <w:rsid w:val="09E30E5D"/>
    <w:rsid w:val="0A134329"/>
    <w:rsid w:val="0A143BE1"/>
    <w:rsid w:val="0A286DFB"/>
    <w:rsid w:val="0A5164D1"/>
    <w:rsid w:val="0A537B69"/>
    <w:rsid w:val="0A6C43DE"/>
    <w:rsid w:val="0ABC02E8"/>
    <w:rsid w:val="0AC16484"/>
    <w:rsid w:val="0ACB2015"/>
    <w:rsid w:val="0AD20D5E"/>
    <w:rsid w:val="0AD555AC"/>
    <w:rsid w:val="0AED24FC"/>
    <w:rsid w:val="0B0F4A80"/>
    <w:rsid w:val="0B1B1997"/>
    <w:rsid w:val="0B24532C"/>
    <w:rsid w:val="0B3F6621"/>
    <w:rsid w:val="0B4D2A88"/>
    <w:rsid w:val="0B527B25"/>
    <w:rsid w:val="0B5E0983"/>
    <w:rsid w:val="0B6A4840"/>
    <w:rsid w:val="0B707256"/>
    <w:rsid w:val="0B7129F9"/>
    <w:rsid w:val="0B744B6D"/>
    <w:rsid w:val="0B7E60C9"/>
    <w:rsid w:val="0B8730CC"/>
    <w:rsid w:val="0B927AF3"/>
    <w:rsid w:val="0BA069F6"/>
    <w:rsid w:val="0BB6397D"/>
    <w:rsid w:val="0BE05B3D"/>
    <w:rsid w:val="0BEF4F2C"/>
    <w:rsid w:val="0BF03462"/>
    <w:rsid w:val="0BF56721"/>
    <w:rsid w:val="0C5161F8"/>
    <w:rsid w:val="0C52360D"/>
    <w:rsid w:val="0C7C1976"/>
    <w:rsid w:val="0CAC6DE2"/>
    <w:rsid w:val="0CBA5E3E"/>
    <w:rsid w:val="0CCB3B11"/>
    <w:rsid w:val="0CDE55BC"/>
    <w:rsid w:val="0CDF3914"/>
    <w:rsid w:val="0CEA2CF7"/>
    <w:rsid w:val="0D035130"/>
    <w:rsid w:val="0D23336E"/>
    <w:rsid w:val="0D284B82"/>
    <w:rsid w:val="0D3A5239"/>
    <w:rsid w:val="0D3A7039"/>
    <w:rsid w:val="0D4356A8"/>
    <w:rsid w:val="0D636B53"/>
    <w:rsid w:val="0D8735F9"/>
    <w:rsid w:val="0D8972A3"/>
    <w:rsid w:val="0D94436C"/>
    <w:rsid w:val="0D980C13"/>
    <w:rsid w:val="0DB607B8"/>
    <w:rsid w:val="0DC22600"/>
    <w:rsid w:val="0DC51AC4"/>
    <w:rsid w:val="0DC63EF2"/>
    <w:rsid w:val="0DD75C5E"/>
    <w:rsid w:val="0DE9579A"/>
    <w:rsid w:val="0DFF4B13"/>
    <w:rsid w:val="0E093416"/>
    <w:rsid w:val="0E402695"/>
    <w:rsid w:val="0E6B4543"/>
    <w:rsid w:val="0E777792"/>
    <w:rsid w:val="0E7B1FCA"/>
    <w:rsid w:val="0E880E39"/>
    <w:rsid w:val="0E9D025B"/>
    <w:rsid w:val="0EA8225F"/>
    <w:rsid w:val="0ED01837"/>
    <w:rsid w:val="0ED33A29"/>
    <w:rsid w:val="0EF97174"/>
    <w:rsid w:val="0F021563"/>
    <w:rsid w:val="0F0F3D45"/>
    <w:rsid w:val="0F2550AA"/>
    <w:rsid w:val="0F3A116B"/>
    <w:rsid w:val="0F511411"/>
    <w:rsid w:val="0F703346"/>
    <w:rsid w:val="0F80004E"/>
    <w:rsid w:val="0F871EAB"/>
    <w:rsid w:val="0F9F1528"/>
    <w:rsid w:val="0FDF5A14"/>
    <w:rsid w:val="1008703A"/>
    <w:rsid w:val="10126FBC"/>
    <w:rsid w:val="103809FF"/>
    <w:rsid w:val="10764104"/>
    <w:rsid w:val="1096068D"/>
    <w:rsid w:val="10B951CF"/>
    <w:rsid w:val="10BB3068"/>
    <w:rsid w:val="10C23AFA"/>
    <w:rsid w:val="10D82C05"/>
    <w:rsid w:val="10FF2114"/>
    <w:rsid w:val="110E3EB6"/>
    <w:rsid w:val="11131D94"/>
    <w:rsid w:val="111778A8"/>
    <w:rsid w:val="111E4B32"/>
    <w:rsid w:val="1124277B"/>
    <w:rsid w:val="11617971"/>
    <w:rsid w:val="11622F64"/>
    <w:rsid w:val="116F4939"/>
    <w:rsid w:val="11846297"/>
    <w:rsid w:val="118660F9"/>
    <w:rsid w:val="11AD4D58"/>
    <w:rsid w:val="11B67206"/>
    <w:rsid w:val="11BA4661"/>
    <w:rsid w:val="11BA6A1A"/>
    <w:rsid w:val="11E411C4"/>
    <w:rsid w:val="11EE75FC"/>
    <w:rsid w:val="11FA2349"/>
    <w:rsid w:val="12044AB3"/>
    <w:rsid w:val="120E4E60"/>
    <w:rsid w:val="12342A01"/>
    <w:rsid w:val="12533BE9"/>
    <w:rsid w:val="126548EE"/>
    <w:rsid w:val="12817181"/>
    <w:rsid w:val="129E267E"/>
    <w:rsid w:val="129E41E5"/>
    <w:rsid w:val="12AA4BE9"/>
    <w:rsid w:val="12AD464A"/>
    <w:rsid w:val="12C003F7"/>
    <w:rsid w:val="12C7679B"/>
    <w:rsid w:val="12CC34CB"/>
    <w:rsid w:val="12DD774D"/>
    <w:rsid w:val="12E20B88"/>
    <w:rsid w:val="12EB04FE"/>
    <w:rsid w:val="13026866"/>
    <w:rsid w:val="131F3842"/>
    <w:rsid w:val="133E4EC4"/>
    <w:rsid w:val="136404F3"/>
    <w:rsid w:val="137E2663"/>
    <w:rsid w:val="13B61E8E"/>
    <w:rsid w:val="13BE1FBB"/>
    <w:rsid w:val="13C23A1B"/>
    <w:rsid w:val="13C76244"/>
    <w:rsid w:val="13CF28FB"/>
    <w:rsid w:val="13DA7C15"/>
    <w:rsid w:val="13EA5E5F"/>
    <w:rsid w:val="14107AE9"/>
    <w:rsid w:val="14175E0A"/>
    <w:rsid w:val="141F1BA5"/>
    <w:rsid w:val="142A2204"/>
    <w:rsid w:val="1472255F"/>
    <w:rsid w:val="14782396"/>
    <w:rsid w:val="148942E3"/>
    <w:rsid w:val="148B031E"/>
    <w:rsid w:val="14AC25B0"/>
    <w:rsid w:val="14AE0BED"/>
    <w:rsid w:val="14AF303C"/>
    <w:rsid w:val="14BE55AD"/>
    <w:rsid w:val="14E52CFF"/>
    <w:rsid w:val="1502113A"/>
    <w:rsid w:val="151308D4"/>
    <w:rsid w:val="15281376"/>
    <w:rsid w:val="15422545"/>
    <w:rsid w:val="156508EF"/>
    <w:rsid w:val="15693006"/>
    <w:rsid w:val="15716A99"/>
    <w:rsid w:val="157177C3"/>
    <w:rsid w:val="1581047E"/>
    <w:rsid w:val="15890531"/>
    <w:rsid w:val="15895642"/>
    <w:rsid w:val="15A444EB"/>
    <w:rsid w:val="15B0540D"/>
    <w:rsid w:val="15B7532E"/>
    <w:rsid w:val="15C56F14"/>
    <w:rsid w:val="15C84147"/>
    <w:rsid w:val="15CA017F"/>
    <w:rsid w:val="15D71AD5"/>
    <w:rsid w:val="15DC38C2"/>
    <w:rsid w:val="15F23B4A"/>
    <w:rsid w:val="15FC08F6"/>
    <w:rsid w:val="1646133C"/>
    <w:rsid w:val="165931D9"/>
    <w:rsid w:val="16682D3E"/>
    <w:rsid w:val="167046E9"/>
    <w:rsid w:val="167E382D"/>
    <w:rsid w:val="16DC0535"/>
    <w:rsid w:val="170716B6"/>
    <w:rsid w:val="1748083E"/>
    <w:rsid w:val="17553F9F"/>
    <w:rsid w:val="175623CE"/>
    <w:rsid w:val="176538DA"/>
    <w:rsid w:val="17914610"/>
    <w:rsid w:val="1794775D"/>
    <w:rsid w:val="17C376AD"/>
    <w:rsid w:val="17CB4905"/>
    <w:rsid w:val="17D01F3A"/>
    <w:rsid w:val="17DC7DAF"/>
    <w:rsid w:val="17DF40F7"/>
    <w:rsid w:val="180224D1"/>
    <w:rsid w:val="180E4FC5"/>
    <w:rsid w:val="18171331"/>
    <w:rsid w:val="18396192"/>
    <w:rsid w:val="184A4BE3"/>
    <w:rsid w:val="185060EC"/>
    <w:rsid w:val="185A42FA"/>
    <w:rsid w:val="18870C54"/>
    <w:rsid w:val="189D2207"/>
    <w:rsid w:val="18A211F6"/>
    <w:rsid w:val="18A45C40"/>
    <w:rsid w:val="18D57338"/>
    <w:rsid w:val="18E96032"/>
    <w:rsid w:val="18EE62E8"/>
    <w:rsid w:val="18F62584"/>
    <w:rsid w:val="18F96461"/>
    <w:rsid w:val="19116F8E"/>
    <w:rsid w:val="19551A74"/>
    <w:rsid w:val="195F7D63"/>
    <w:rsid w:val="197C2433"/>
    <w:rsid w:val="19933139"/>
    <w:rsid w:val="19AC4F46"/>
    <w:rsid w:val="19D57461"/>
    <w:rsid w:val="19E70437"/>
    <w:rsid w:val="19E74602"/>
    <w:rsid w:val="19EE7D0B"/>
    <w:rsid w:val="1A077D86"/>
    <w:rsid w:val="1A085685"/>
    <w:rsid w:val="1A191F3E"/>
    <w:rsid w:val="1A3417B8"/>
    <w:rsid w:val="1A5163D6"/>
    <w:rsid w:val="1A54768F"/>
    <w:rsid w:val="1A5A669E"/>
    <w:rsid w:val="1A796C32"/>
    <w:rsid w:val="1AB9028C"/>
    <w:rsid w:val="1AC56317"/>
    <w:rsid w:val="1AD6319E"/>
    <w:rsid w:val="1B1075FD"/>
    <w:rsid w:val="1B4B651F"/>
    <w:rsid w:val="1B777BC9"/>
    <w:rsid w:val="1B7D10D5"/>
    <w:rsid w:val="1B8D6B92"/>
    <w:rsid w:val="1B936CD6"/>
    <w:rsid w:val="1B990279"/>
    <w:rsid w:val="1B9B4E1C"/>
    <w:rsid w:val="1B9C50E9"/>
    <w:rsid w:val="1BAA5FDD"/>
    <w:rsid w:val="1BAD4429"/>
    <w:rsid w:val="1BB80557"/>
    <w:rsid w:val="1BBC1606"/>
    <w:rsid w:val="1BD91A80"/>
    <w:rsid w:val="1BE641ED"/>
    <w:rsid w:val="1BF24F3D"/>
    <w:rsid w:val="1C1D36F1"/>
    <w:rsid w:val="1C291BAA"/>
    <w:rsid w:val="1C386892"/>
    <w:rsid w:val="1C4A2683"/>
    <w:rsid w:val="1C5E6C62"/>
    <w:rsid w:val="1C5F292D"/>
    <w:rsid w:val="1C5F3B2B"/>
    <w:rsid w:val="1C631E26"/>
    <w:rsid w:val="1C7530BF"/>
    <w:rsid w:val="1CBC5611"/>
    <w:rsid w:val="1CD22EF6"/>
    <w:rsid w:val="1CD7177C"/>
    <w:rsid w:val="1CF005FD"/>
    <w:rsid w:val="1CF6531E"/>
    <w:rsid w:val="1CF73467"/>
    <w:rsid w:val="1D0A5C6D"/>
    <w:rsid w:val="1D0B195E"/>
    <w:rsid w:val="1D3570D5"/>
    <w:rsid w:val="1D4E0EB2"/>
    <w:rsid w:val="1D693FA7"/>
    <w:rsid w:val="1D8F4E65"/>
    <w:rsid w:val="1DB553DF"/>
    <w:rsid w:val="1DBF1882"/>
    <w:rsid w:val="1DCE009D"/>
    <w:rsid w:val="1DDB7496"/>
    <w:rsid w:val="1DE366AE"/>
    <w:rsid w:val="1DF04BC7"/>
    <w:rsid w:val="1DF17BE1"/>
    <w:rsid w:val="1E3A10AF"/>
    <w:rsid w:val="1E4719A3"/>
    <w:rsid w:val="1E5F1F97"/>
    <w:rsid w:val="1E6C5F4E"/>
    <w:rsid w:val="1EA65561"/>
    <w:rsid w:val="1EAD4127"/>
    <w:rsid w:val="1EB70BD9"/>
    <w:rsid w:val="1EB8797A"/>
    <w:rsid w:val="1EEC719E"/>
    <w:rsid w:val="1EF7018A"/>
    <w:rsid w:val="1F0242AA"/>
    <w:rsid w:val="1F044236"/>
    <w:rsid w:val="1F25251D"/>
    <w:rsid w:val="1F2B5438"/>
    <w:rsid w:val="1F390590"/>
    <w:rsid w:val="1F424A01"/>
    <w:rsid w:val="1F48770A"/>
    <w:rsid w:val="1F4C6748"/>
    <w:rsid w:val="1F595467"/>
    <w:rsid w:val="1F5B2F4F"/>
    <w:rsid w:val="1F5C06A1"/>
    <w:rsid w:val="1FB80942"/>
    <w:rsid w:val="1FBB5482"/>
    <w:rsid w:val="2001262E"/>
    <w:rsid w:val="200D64BE"/>
    <w:rsid w:val="20153599"/>
    <w:rsid w:val="201B2789"/>
    <w:rsid w:val="20256516"/>
    <w:rsid w:val="20584BED"/>
    <w:rsid w:val="20D60AAE"/>
    <w:rsid w:val="20DE5B9D"/>
    <w:rsid w:val="20DF61AB"/>
    <w:rsid w:val="21061BA2"/>
    <w:rsid w:val="2121427E"/>
    <w:rsid w:val="21262CBA"/>
    <w:rsid w:val="212B1C97"/>
    <w:rsid w:val="212F35F6"/>
    <w:rsid w:val="21361FB5"/>
    <w:rsid w:val="214B3D89"/>
    <w:rsid w:val="21575426"/>
    <w:rsid w:val="215C1F77"/>
    <w:rsid w:val="2177769E"/>
    <w:rsid w:val="21D25FF2"/>
    <w:rsid w:val="21F70210"/>
    <w:rsid w:val="22344A9E"/>
    <w:rsid w:val="22363269"/>
    <w:rsid w:val="223C2DAF"/>
    <w:rsid w:val="223E2651"/>
    <w:rsid w:val="224E39C0"/>
    <w:rsid w:val="226575C4"/>
    <w:rsid w:val="22682C5C"/>
    <w:rsid w:val="226D3EEA"/>
    <w:rsid w:val="226E077B"/>
    <w:rsid w:val="22923DE9"/>
    <w:rsid w:val="22973417"/>
    <w:rsid w:val="229D5794"/>
    <w:rsid w:val="22BF3D00"/>
    <w:rsid w:val="22C17DB5"/>
    <w:rsid w:val="22C629AC"/>
    <w:rsid w:val="22DD27AA"/>
    <w:rsid w:val="22E96F92"/>
    <w:rsid w:val="23032953"/>
    <w:rsid w:val="23060CEA"/>
    <w:rsid w:val="23085EFE"/>
    <w:rsid w:val="230D3451"/>
    <w:rsid w:val="230E5678"/>
    <w:rsid w:val="231074AE"/>
    <w:rsid w:val="23257653"/>
    <w:rsid w:val="23441FFA"/>
    <w:rsid w:val="234B3276"/>
    <w:rsid w:val="23773623"/>
    <w:rsid w:val="2377693D"/>
    <w:rsid w:val="239D0541"/>
    <w:rsid w:val="239F724D"/>
    <w:rsid w:val="23AB1721"/>
    <w:rsid w:val="23D95FBD"/>
    <w:rsid w:val="23EF0BE1"/>
    <w:rsid w:val="24002E5E"/>
    <w:rsid w:val="245734DF"/>
    <w:rsid w:val="245A6743"/>
    <w:rsid w:val="246A08B9"/>
    <w:rsid w:val="24754B15"/>
    <w:rsid w:val="247F64CC"/>
    <w:rsid w:val="248D420D"/>
    <w:rsid w:val="24921B27"/>
    <w:rsid w:val="24A0121D"/>
    <w:rsid w:val="24B97631"/>
    <w:rsid w:val="24BD5AA0"/>
    <w:rsid w:val="24C90419"/>
    <w:rsid w:val="24E32289"/>
    <w:rsid w:val="24ED1C1E"/>
    <w:rsid w:val="24F0284D"/>
    <w:rsid w:val="250E20E4"/>
    <w:rsid w:val="25202C91"/>
    <w:rsid w:val="252331A5"/>
    <w:rsid w:val="25266F92"/>
    <w:rsid w:val="252733A0"/>
    <w:rsid w:val="252C19DC"/>
    <w:rsid w:val="253C437F"/>
    <w:rsid w:val="25425A19"/>
    <w:rsid w:val="25433441"/>
    <w:rsid w:val="25490B3E"/>
    <w:rsid w:val="256F1A53"/>
    <w:rsid w:val="258B2F2B"/>
    <w:rsid w:val="258B31A0"/>
    <w:rsid w:val="25AB3D1C"/>
    <w:rsid w:val="25D90A1B"/>
    <w:rsid w:val="25E22192"/>
    <w:rsid w:val="25F332FF"/>
    <w:rsid w:val="25FE37D6"/>
    <w:rsid w:val="26274BB6"/>
    <w:rsid w:val="26356536"/>
    <w:rsid w:val="268B243A"/>
    <w:rsid w:val="269C627F"/>
    <w:rsid w:val="26AA20D3"/>
    <w:rsid w:val="26B43DCE"/>
    <w:rsid w:val="26C705B0"/>
    <w:rsid w:val="26DD3B73"/>
    <w:rsid w:val="26E576C7"/>
    <w:rsid w:val="26F04260"/>
    <w:rsid w:val="26F81EB4"/>
    <w:rsid w:val="26FB2F1B"/>
    <w:rsid w:val="27310B9A"/>
    <w:rsid w:val="273970CB"/>
    <w:rsid w:val="273E1C11"/>
    <w:rsid w:val="275265C3"/>
    <w:rsid w:val="276B112C"/>
    <w:rsid w:val="27754A5C"/>
    <w:rsid w:val="27815619"/>
    <w:rsid w:val="279E2679"/>
    <w:rsid w:val="279F554C"/>
    <w:rsid w:val="27D65541"/>
    <w:rsid w:val="27E466F0"/>
    <w:rsid w:val="27EC5FCE"/>
    <w:rsid w:val="286651CF"/>
    <w:rsid w:val="28671C46"/>
    <w:rsid w:val="2897657D"/>
    <w:rsid w:val="28AB19F4"/>
    <w:rsid w:val="28B30E3A"/>
    <w:rsid w:val="28D71E0B"/>
    <w:rsid w:val="28DC39BE"/>
    <w:rsid w:val="28DD5BCB"/>
    <w:rsid w:val="28E01F8A"/>
    <w:rsid w:val="28F045AC"/>
    <w:rsid w:val="29115393"/>
    <w:rsid w:val="291D583E"/>
    <w:rsid w:val="29602BC4"/>
    <w:rsid w:val="29754C24"/>
    <w:rsid w:val="299760C7"/>
    <w:rsid w:val="2999350D"/>
    <w:rsid w:val="299E7E78"/>
    <w:rsid w:val="29B759BC"/>
    <w:rsid w:val="29D60A95"/>
    <w:rsid w:val="29D94FA1"/>
    <w:rsid w:val="29E31604"/>
    <w:rsid w:val="29F87E04"/>
    <w:rsid w:val="2A1A7BC7"/>
    <w:rsid w:val="2A2D73EC"/>
    <w:rsid w:val="2A2E4CEB"/>
    <w:rsid w:val="2A3B565F"/>
    <w:rsid w:val="2A555F3D"/>
    <w:rsid w:val="2A645B0E"/>
    <w:rsid w:val="2A653259"/>
    <w:rsid w:val="2A8F4841"/>
    <w:rsid w:val="2AA369DD"/>
    <w:rsid w:val="2AAE39DE"/>
    <w:rsid w:val="2AD06022"/>
    <w:rsid w:val="2AD63975"/>
    <w:rsid w:val="2ADD1B0D"/>
    <w:rsid w:val="2AEC47FC"/>
    <w:rsid w:val="2AF1331E"/>
    <w:rsid w:val="2AF81BE3"/>
    <w:rsid w:val="2AFF23A5"/>
    <w:rsid w:val="2B024C79"/>
    <w:rsid w:val="2B361003"/>
    <w:rsid w:val="2B3762A6"/>
    <w:rsid w:val="2B3C6641"/>
    <w:rsid w:val="2B51786F"/>
    <w:rsid w:val="2B532272"/>
    <w:rsid w:val="2B5B0F6E"/>
    <w:rsid w:val="2B925FDF"/>
    <w:rsid w:val="2B9970F1"/>
    <w:rsid w:val="2BE501C7"/>
    <w:rsid w:val="2BED2E55"/>
    <w:rsid w:val="2C1738CF"/>
    <w:rsid w:val="2C1945D8"/>
    <w:rsid w:val="2C1B1368"/>
    <w:rsid w:val="2C6C7918"/>
    <w:rsid w:val="2C783906"/>
    <w:rsid w:val="2C7E3B86"/>
    <w:rsid w:val="2CB5787B"/>
    <w:rsid w:val="2CCA4381"/>
    <w:rsid w:val="2CD30F03"/>
    <w:rsid w:val="2CF1389A"/>
    <w:rsid w:val="2CF249BE"/>
    <w:rsid w:val="2CF92346"/>
    <w:rsid w:val="2CFC1554"/>
    <w:rsid w:val="2CFF3512"/>
    <w:rsid w:val="2D0B7148"/>
    <w:rsid w:val="2D17770B"/>
    <w:rsid w:val="2D354DCA"/>
    <w:rsid w:val="2D4C5FFB"/>
    <w:rsid w:val="2D6E6943"/>
    <w:rsid w:val="2D7E4AF7"/>
    <w:rsid w:val="2D8519AC"/>
    <w:rsid w:val="2D87777E"/>
    <w:rsid w:val="2D8E349F"/>
    <w:rsid w:val="2D9469E6"/>
    <w:rsid w:val="2D9D7A77"/>
    <w:rsid w:val="2DAF78FF"/>
    <w:rsid w:val="2DD93F77"/>
    <w:rsid w:val="2DDE7A41"/>
    <w:rsid w:val="2DE116CE"/>
    <w:rsid w:val="2DEF20F0"/>
    <w:rsid w:val="2E041306"/>
    <w:rsid w:val="2E106E4C"/>
    <w:rsid w:val="2E4C211D"/>
    <w:rsid w:val="2E4D7F49"/>
    <w:rsid w:val="2E4E05E7"/>
    <w:rsid w:val="2E4E1129"/>
    <w:rsid w:val="2E5A472E"/>
    <w:rsid w:val="2E5B5EA2"/>
    <w:rsid w:val="2E6446EB"/>
    <w:rsid w:val="2E7F0E61"/>
    <w:rsid w:val="2E7F686F"/>
    <w:rsid w:val="2E870765"/>
    <w:rsid w:val="2E8D0791"/>
    <w:rsid w:val="2E9B39A1"/>
    <w:rsid w:val="2EAF6BB3"/>
    <w:rsid w:val="2F047EE8"/>
    <w:rsid w:val="2F082414"/>
    <w:rsid w:val="2F085C75"/>
    <w:rsid w:val="2F2B12A9"/>
    <w:rsid w:val="2F5A4B10"/>
    <w:rsid w:val="2F626907"/>
    <w:rsid w:val="2F956224"/>
    <w:rsid w:val="2FA23A7C"/>
    <w:rsid w:val="2FA30525"/>
    <w:rsid w:val="2FB449B9"/>
    <w:rsid w:val="2FC73BC7"/>
    <w:rsid w:val="2FD128B8"/>
    <w:rsid w:val="2FD33F66"/>
    <w:rsid w:val="2FD408E0"/>
    <w:rsid w:val="2FE311E4"/>
    <w:rsid w:val="2FF608DC"/>
    <w:rsid w:val="2FFD3FAC"/>
    <w:rsid w:val="3004586C"/>
    <w:rsid w:val="30067266"/>
    <w:rsid w:val="30160ACC"/>
    <w:rsid w:val="3045081F"/>
    <w:rsid w:val="306825DD"/>
    <w:rsid w:val="30834BF9"/>
    <w:rsid w:val="30944718"/>
    <w:rsid w:val="30C01078"/>
    <w:rsid w:val="30CF0FD9"/>
    <w:rsid w:val="30F34FAE"/>
    <w:rsid w:val="3133127A"/>
    <w:rsid w:val="31353CD7"/>
    <w:rsid w:val="313E620E"/>
    <w:rsid w:val="313E6CDE"/>
    <w:rsid w:val="31727F68"/>
    <w:rsid w:val="317662E9"/>
    <w:rsid w:val="31954796"/>
    <w:rsid w:val="31962DAE"/>
    <w:rsid w:val="319F0073"/>
    <w:rsid w:val="31B9498A"/>
    <w:rsid w:val="32044DED"/>
    <w:rsid w:val="320C562E"/>
    <w:rsid w:val="324B22D2"/>
    <w:rsid w:val="32575E9A"/>
    <w:rsid w:val="325C3AF5"/>
    <w:rsid w:val="327A0FE8"/>
    <w:rsid w:val="329F684F"/>
    <w:rsid w:val="32B26B6D"/>
    <w:rsid w:val="32C92CF9"/>
    <w:rsid w:val="32F96ACA"/>
    <w:rsid w:val="330258B3"/>
    <w:rsid w:val="33054642"/>
    <w:rsid w:val="33106E3B"/>
    <w:rsid w:val="333E4968"/>
    <w:rsid w:val="334F5C93"/>
    <w:rsid w:val="335D5DB2"/>
    <w:rsid w:val="337E28B4"/>
    <w:rsid w:val="33951969"/>
    <w:rsid w:val="339B5E01"/>
    <w:rsid w:val="33A31D7A"/>
    <w:rsid w:val="33D163EF"/>
    <w:rsid w:val="33D45DFD"/>
    <w:rsid w:val="33E605A3"/>
    <w:rsid w:val="33E706E6"/>
    <w:rsid w:val="33F14703"/>
    <w:rsid w:val="33F7797D"/>
    <w:rsid w:val="3406027F"/>
    <w:rsid w:val="345A0509"/>
    <w:rsid w:val="345B2367"/>
    <w:rsid w:val="34672008"/>
    <w:rsid w:val="348B5095"/>
    <w:rsid w:val="349C31F7"/>
    <w:rsid w:val="34A54544"/>
    <w:rsid w:val="34AE0539"/>
    <w:rsid w:val="34AF3083"/>
    <w:rsid w:val="34CD5068"/>
    <w:rsid w:val="34CE2B5B"/>
    <w:rsid w:val="34E944F6"/>
    <w:rsid w:val="34E94AA0"/>
    <w:rsid w:val="35072EAD"/>
    <w:rsid w:val="350960B1"/>
    <w:rsid w:val="35150114"/>
    <w:rsid w:val="35217336"/>
    <w:rsid w:val="35290A77"/>
    <w:rsid w:val="352A0B4B"/>
    <w:rsid w:val="35356F10"/>
    <w:rsid w:val="354840CB"/>
    <w:rsid w:val="355C013C"/>
    <w:rsid w:val="3565420B"/>
    <w:rsid w:val="356A601B"/>
    <w:rsid w:val="3583595D"/>
    <w:rsid w:val="35841013"/>
    <w:rsid w:val="358B79C9"/>
    <w:rsid w:val="359A00B9"/>
    <w:rsid w:val="35F853BB"/>
    <w:rsid w:val="35FB1676"/>
    <w:rsid w:val="361526DE"/>
    <w:rsid w:val="36225127"/>
    <w:rsid w:val="36237E20"/>
    <w:rsid w:val="36286678"/>
    <w:rsid w:val="363803C7"/>
    <w:rsid w:val="36560C0B"/>
    <w:rsid w:val="367620D2"/>
    <w:rsid w:val="3689139F"/>
    <w:rsid w:val="369608CE"/>
    <w:rsid w:val="369B2954"/>
    <w:rsid w:val="36BA0FCB"/>
    <w:rsid w:val="36C1037B"/>
    <w:rsid w:val="36C9319E"/>
    <w:rsid w:val="36D067A6"/>
    <w:rsid w:val="37070D11"/>
    <w:rsid w:val="37201F64"/>
    <w:rsid w:val="373F53DD"/>
    <w:rsid w:val="375948AC"/>
    <w:rsid w:val="376B28D6"/>
    <w:rsid w:val="376C5D00"/>
    <w:rsid w:val="376E276D"/>
    <w:rsid w:val="37A04E93"/>
    <w:rsid w:val="37A31CDF"/>
    <w:rsid w:val="37EA0A17"/>
    <w:rsid w:val="380A7603"/>
    <w:rsid w:val="380B0BB2"/>
    <w:rsid w:val="380D32F1"/>
    <w:rsid w:val="380D5D0D"/>
    <w:rsid w:val="382F2C1E"/>
    <w:rsid w:val="38716CD9"/>
    <w:rsid w:val="38801C6C"/>
    <w:rsid w:val="38834A3E"/>
    <w:rsid w:val="38851608"/>
    <w:rsid w:val="38A45712"/>
    <w:rsid w:val="38A47DD9"/>
    <w:rsid w:val="38B04451"/>
    <w:rsid w:val="38CC35B4"/>
    <w:rsid w:val="38D10166"/>
    <w:rsid w:val="39207FD2"/>
    <w:rsid w:val="3933207C"/>
    <w:rsid w:val="394B37F2"/>
    <w:rsid w:val="39532C2F"/>
    <w:rsid w:val="397458FC"/>
    <w:rsid w:val="39985F30"/>
    <w:rsid w:val="39D3500A"/>
    <w:rsid w:val="39D96419"/>
    <w:rsid w:val="39DB057E"/>
    <w:rsid w:val="39E55169"/>
    <w:rsid w:val="39E84553"/>
    <w:rsid w:val="39F4018B"/>
    <w:rsid w:val="39F72E22"/>
    <w:rsid w:val="3A094E52"/>
    <w:rsid w:val="3A174971"/>
    <w:rsid w:val="3A273045"/>
    <w:rsid w:val="3A3E4729"/>
    <w:rsid w:val="3A675D63"/>
    <w:rsid w:val="3A9F7948"/>
    <w:rsid w:val="3AA02CE4"/>
    <w:rsid w:val="3AA628ED"/>
    <w:rsid w:val="3AAC6356"/>
    <w:rsid w:val="3AB23C38"/>
    <w:rsid w:val="3ABA4B72"/>
    <w:rsid w:val="3AC76FD5"/>
    <w:rsid w:val="3ACE1617"/>
    <w:rsid w:val="3AD31906"/>
    <w:rsid w:val="3AD969F8"/>
    <w:rsid w:val="3AFD1BC4"/>
    <w:rsid w:val="3B4C622A"/>
    <w:rsid w:val="3B65256F"/>
    <w:rsid w:val="3B7F36AC"/>
    <w:rsid w:val="3B822235"/>
    <w:rsid w:val="3B861D2E"/>
    <w:rsid w:val="3B9B1BC5"/>
    <w:rsid w:val="3BA2309F"/>
    <w:rsid w:val="3BC25680"/>
    <w:rsid w:val="3BD653F5"/>
    <w:rsid w:val="3BE16ECF"/>
    <w:rsid w:val="3C0C1744"/>
    <w:rsid w:val="3C211965"/>
    <w:rsid w:val="3C4708A1"/>
    <w:rsid w:val="3C4B0ED5"/>
    <w:rsid w:val="3CA91418"/>
    <w:rsid w:val="3CBC1B56"/>
    <w:rsid w:val="3CBD75BF"/>
    <w:rsid w:val="3CC33BCC"/>
    <w:rsid w:val="3CD641A1"/>
    <w:rsid w:val="3CE2490A"/>
    <w:rsid w:val="3CEA648A"/>
    <w:rsid w:val="3D0870AB"/>
    <w:rsid w:val="3D1502D9"/>
    <w:rsid w:val="3D555673"/>
    <w:rsid w:val="3D5657CC"/>
    <w:rsid w:val="3D5D2E26"/>
    <w:rsid w:val="3D876DDA"/>
    <w:rsid w:val="3D8E5ECA"/>
    <w:rsid w:val="3DB21166"/>
    <w:rsid w:val="3DB52FFB"/>
    <w:rsid w:val="3DB932B8"/>
    <w:rsid w:val="3DDF3C84"/>
    <w:rsid w:val="3DF55B8D"/>
    <w:rsid w:val="3DF740D2"/>
    <w:rsid w:val="3E2942BE"/>
    <w:rsid w:val="3E300439"/>
    <w:rsid w:val="3E320B89"/>
    <w:rsid w:val="3E3906BC"/>
    <w:rsid w:val="3E5648B2"/>
    <w:rsid w:val="3E684241"/>
    <w:rsid w:val="3E75521D"/>
    <w:rsid w:val="3E83245B"/>
    <w:rsid w:val="3E8412E9"/>
    <w:rsid w:val="3E9328AF"/>
    <w:rsid w:val="3E9C501E"/>
    <w:rsid w:val="3EBC27E6"/>
    <w:rsid w:val="3EDC10D0"/>
    <w:rsid w:val="3EE10368"/>
    <w:rsid w:val="3EF13BC7"/>
    <w:rsid w:val="3EF53D00"/>
    <w:rsid w:val="3F035371"/>
    <w:rsid w:val="3F0C4369"/>
    <w:rsid w:val="3F2F53AA"/>
    <w:rsid w:val="3F5D2E4D"/>
    <w:rsid w:val="3F5F1F5C"/>
    <w:rsid w:val="3F6A5EE0"/>
    <w:rsid w:val="3F8A14CB"/>
    <w:rsid w:val="3F9364E1"/>
    <w:rsid w:val="3F9E0865"/>
    <w:rsid w:val="3FA5009E"/>
    <w:rsid w:val="3FD50D82"/>
    <w:rsid w:val="3FDB1475"/>
    <w:rsid w:val="3FDE5AD9"/>
    <w:rsid w:val="3FE56AF2"/>
    <w:rsid w:val="401C7BD5"/>
    <w:rsid w:val="402417C8"/>
    <w:rsid w:val="402E6E49"/>
    <w:rsid w:val="40372073"/>
    <w:rsid w:val="404F52A8"/>
    <w:rsid w:val="40A82619"/>
    <w:rsid w:val="40B6211F"/>
    <w:rsid w:val="40C2573C"/>
    <w:rsid w:val="40D34024"/>
    <w:rsid w:val="40D43BA0"/>
    <w:rsid w:val="40E241CE"/>
    <w:rsid w:val="40E75B26"/>
    <w:rsid w:val="40EA78D7"/>
    <w:rsid w:val="40EF076E"/>
    <w:rsid w:val="412912D7"/>
    <w:rsid w:val="41366B89"/>
    <w:rsid w:val="41643D6B"/>
    <w:rsid w:val="41771599"/>
    <w:rsid w:val="41A04E11"/>
    <w:rsid w:val="41DB0F0D"/>
    <w:rsid w:val="420558C2"/>
    <w:rsid w:val="42057B28"/>
    <w:rsid w:val="421052B2"/>
    <w:rsid w:val="42190CC2"/>
    <w:rsid w:val="422F36E3"/>
    <w:rsid w:val="42407C97"/>
    <w:rsid w:val="42491125"/>
    <w:rsid w:val="425C634D"/>
    <w:rsid w:val="427A44C2"/>
    <w:rsid w:val="42880654"/>
    <w:rsid w:val="428A5B21"/>
    <w:rsid w:val="428D14EF"/>
    <w:rsid w:val="4296187E"/>
    <w:rsid w:val="42A65AF0"/>
    <w:rsid w:val="42AD56C6"/>
    <w:rsid w:val="42FF71DC"/>
    <w:rsid w:val="42FF7548"/>
    <w:rsid w:val="432B1FC3"/>
    <w:rsid w:val="434D155D"/>
    <w:rsid w:val="43594292"/>
    <w:rsid w:val="435E53D9"/>
    <w:rsid w:val="437A0D2C"/>
    <w:rsid w:val="438607EE"/>
    <w:rsid w:val="43911F91"/>
    <w:rsid w:val="4394491A"/>
    <w:rsid w:val="43997A97"/>
    <w:rsid w:val="43BD5DE5"/>
    <w:rsid w:val="43CA6D64"/>
    <w:rsid w:val="43D65E39"/>
    <w:rsid w:val="43D6606E"/>
    <w:rsid w:val="43FE3B45"/>
    <w:rsid w:val="441111D7"/>
    <w:rsid w:val="444C64B0"/>
    <w:rsid w:val="444D54BA"/>
    <w:rsid w:val="446E2A13"/>
    <w:rsid w:val="446E6C1A"/>
    <w:rsid w:val="44742FDB"/>
    <w:rsid w:val="449D508C"/>
    <w:rsid w:val="44B15AF7"/>
    <w:rsid w:val="44B36E39"/>
    <w:rsid w:val="44EC7013"/>
    <w:rsid w:val="44F02519"/>
    <w:rsid w:val="44FB3AE3"/>
    <w:rsid w:val="44FF3C64"/>
    <w:rsid w:val="45061393"/>
    <w:rsid w:val="45427AA4"/>
    <w:rsid w:val="45465B65"/>
    <w:rsid w:val="45515DC5"/>
    <w:rsid w:val="455454A2"/>
    <w:rsid w:val="45564CA5"/>
    <w:rsid w:val="455B6233"/>
    <w:rsid w:val="456A6A48"/>
    <w:rsid w:val="457C3D14"/>
    <w:rsid w:val="45865E2C"/>
    <w:rsid w:val="45911A43"/>
    <w:rsid w:val="45A16423"/>
    <w:rsid w:val="45A24E61"/>
    <w:rsid w:val="45B457B5"/>
    <w:rsid w:val="45DE2657"/>
    <w:rsid w:val="45F10EC5"/>
    <w:rsid w:val="460F4303"/>
    <w:rsid w:val="462E7E70"/>
    <w:rsid w:val="463144E8"/>
    <w:rsid w:val="466317E7"/>
    <w:rsid w:val="466E3CCD"/>
    <w:rsid w:val="4676381B"/>
    <w:rsid w:val="467744FD"/>
    <w:rsid w:val="46A746F1"/>
    <w:rsid w:val="46A9603F"/>
    <w:rsid w:val="46AF30F0"/>
    <w:rsid w:val="46D046FE"/>
    <w:rsid w:val="46E12276"/>
    <w:rsid w:val="46F03580"/>
    <w:rsid w:val="46F51A7F"/>
    <w:rsid w:val="47140188"/>
    <w:rsid w:val="4714637D"/>
    <w:rsid w:val="47280D0D"/>
    <w:rsid w:val="476B7898"/>
    <w:rsid w:val="47700B34"/>
    <w:rsid w:val="477A6B40"/>
    <w:rsid w:val="47B32E9C"/>
    <w:rsid w:val="47F3266D"/>
    <w:rsid w:val="480B19F6"/>
    <w:rsid w:val="48212AE9"/>
    <w:rsid w:val="486C4CE7"/>
    <w:rsid w:val="487B0789"/>
    <w:rsid w:val="489713C3"/>
    <w:rsid w:val="48A262B1"/>
    <w:rsid w:val="48A61EC2"/>
    <w:rsid w:val="48BA3284"/>
    <w:rsid w:val="48CB1CC0"/>
    <w:rsid w:val="49013C23"/>
    <w:rsid w:val="490A52ED"/>
    <w:rsid w:val="49163580"/>
    <w:rsid w:val="491E6E1E"/>
    <w:rsid w:val="491F7F64"/>
    <w:rsid w:val="492A1BD4"/>
    <w:rsid w:val="494F7DA4"/>
    <w:rsid w:val="49582843"/>
    <w:rsid w:val="49733467"/>
    <w:rsid w:val="49955841"/>
    <w:rsid w:val="49A418F2"/>
    <w:rsid w:val="49C8100A"/>
    <w:rsid w:val="49FF2037"/>
    <w:rsid w:val="4A0A7F62"/>
    <w:rsid w:val="4A1D00AC"/>
    <w:rsid w:val="4A270A04"/>
    <w:rsid w:val="4A414188"/>
    <w:rsid w:val="4A47591B"/>
    <w:rsid w:val="4A4C4C82"/>
    <w:rsid w:val="4A6F608D"/>
    <w:rsid w:val="4A885CE1"/>
    <w:rsid w:val="4A9452E5"/>
    <w:rsid w:val="4A9F2D3A"/>
    <w:rsid w:val="4ABE4F66"/>
    <w:rsid w:val="4ABF0894"/>
    <w:rsid w:val="4ADB4E28"/>
    <w:rsid w:val="4AEF6A2D"/>
    <w:rsid w:val="4AF16114"/>
    <w:rsid w:val="4AF75899"/>
    <w:rsid w:val="4B170E1E"/>
    <w:rsid w:val="4B1A46C6"/>
    <w:rsid w:val="4B1A687B"/>
    <w:rsid w:val="4B2517BD"/>
    <w:rsid w:val="4B333D7A"/>
    <w:rsid w:val="4B3422A0"/>
    <w:rsid w:val="4B4D3A8C"/>
    <w:rsid w:val="4B5523AC"/>
    <w:rsid w:val="4B5D5A49"/>
    <w:rsid w:val="4B766FBE"/>
    <w:rsid w:val="4BB31E0A"/>
    <w:rsid w:val="4BC74E08"/>
    <w:rsid w:val="4BD07997"/>
    <w:rsid w:val="4BDF3E16"/>
    <w:rsid w:val="4C1003D8"/>
    <w:rsid w:val="4C315F18"/>
    <w:rsid w:val="4C352DA8"/>
    <w:rsid w:val="4C366477"/>
    <w:rsid w:val="4C6B6EBB"/>
    <w:rsid w:val="4C6F66E5"/>
    <w:rsid w:val="4C786851"/>
    <w:rsid w:val="4C942881"/>
    <w:rsid w:val="4CAF266F"/>
    <w:rsid w:val="4CC13ECD"/>
    <w:rsid w:val="4CD020F9"/>
    <w:rsid w:val="4D09197C"/>
    <w:rsid w:val="4D0B17EF"/>
    <w:rsid w:val="4D0E4802"/>
    <w:rsid w:val="4D2F7723"/>
    <w:rsid w:val="4D406BD1"/>
    <w:rsid w:val="4D5047B5"/>
    <w:rsid w:val="4D605A45"/>
    <w:rsid w:val="4D76573F"/>
    <w:rsid w:val="4D831E51"/>
    <w:rsid w:val="4DA44E4F"/>
    <w:rsid w:val="4DB3573A"/>
    <w:rsid w:val="4DCE74AD"/>
    <w:rsid w:val="4DF521AC"/>
    <w:rsid w:val="4E0A2800"/>
    <w:rsid w:val="4E0D58C8"/>
    <w:rsid w:val="4E4839BC"/>
    <w:rsid w:val="4E5079C5"/>
    <w:rsid w:val="4E623BD3"/>
    <w:rsid w:val="4E713592"/>
    <w:rsid w:val="4E7906E7"/>
    <w:rsid w:val="4E837C45"/>
    <w:rsid w:val="4E993495"/>
    <w:rsid w:val="4EA30D9D"/>
    <w:rsid w:val="4EA31AE4"/>
    <w:rsid w:val="4EA76E89"/>
    <w:rsid w:val="4EB2058C"/>
    <w:rsid w:val="4EB60C48"/>
    <w:rsid w:val="4EDE147E"/>
    <w:rsid w:val="4EEA3967"/>
    <w:rsid w:val="4EEF1B44"/>
    <w:rsid w:val="4F0A27C3"/>
    <w:rsid w:val="4F0F005F"/>
    <w:rsid w:val="4F165D52"/>
    <w:rsid w:val="4F1D369F"/>
    <w:rsid w:val="4F213A90"/>
    <w:rsid w:val="4F290247"/>
    <w:rsid w:val="4F323CD2"/>
    <w:rsid w:val="4F332C0A"/>
    <w:rsid w:val="4F433DC8"/>
    <w:rsid w:val="4F4B51A5"/>
    <w:rsid w:val="4F4E6EC7"/>
    <w:rsid w:val="4F545D86"/>
    <w:rsid w:val="4F940769"/>
    <w:rsid w:val="4FA14EEC"/>
    <w:rsid w:val="4FA84227"/>
    <w:rsid w:val="4FAD2047"/>
    <w:rsid w:val="4FC231DA"/>
    <w:rsid w:val="4FDD1D8F"/>
    <w:rsid w:val="4FE223EE"/>
    <w:rsid w:val="4FE3097A"/>
    <w:rsid w:val="4FFD3A77"/>
    <w:rsid w:val="501F59A7"/>
    <w:rsid w:val="503642D7"/>
    <w:rsid w:val="503D3F59"/>
    <w:rsid w:val="50650862"/>
    <w:rsid w:val="50681179"/>
    <w:rsid w:val="5095674A"/>
    <w:rsid w:val="50A01EE7"/>
    <w:rsid w:val="50A6221C"/>
    <w:rsid w:val="50AC4C20"/>
    <w:rsid w:val="50B61B8B"/>
    <w:rsid w:val="50C13C5F"/>
    <w:rsid w:val="50C16C1C"/>
    <w:rsid w:val="50C577D9"/>
    <w:rsid w:val="50E00158"/>
    <w:rsid w:val="50E8434B"/>
    <w:rsid w:val="50F0291C"/>
    <w:rsid w:val="50F5073D"/>
    <w:rsid w:val="51183F80"/>
    <w:rsid w:val="51286AE9"/>
    <w:rsid w:val="516C5BB7"/>
    <w:rsid w:val="51881606"/>
    <w:rsid w:val="518E2820"/>
    <w:rsid w:val="51AC5137"/>
    <w:rsid w:val="51B463DB"/>
    <w:rsid w:val="51C31254"/>
    <w:rsid w:val="51C979DD"/>
    <w:rsid w:val="51D65A91"/>
    <w:rsid w:val="520A22AE"/>
    <w:rsid w:val="52247A0F"/>
    <w:rsid w:val="52385792"/>
    <w:rsid w:val="523D42DD"/>
    <w:rsid w:val="523F6AFF"/>
    <w:rsid w:val="524F31BF"/>
    <w:rsid w:val="52514A0D"/>
    <w:rsid w:val="5273265C"/>
    <w:rsid w:val="52853336"/>
    <w:rsid w:val="52881D50"/>
    <w:rsid w:val="52991222"/>
    <w:rsid w:val="529B3EC4"/>
    <w:rsid w:val="529C7876"/>
    <w:rsid w:val="52DB19FD"/>
    <w:rsid w:val="52EE339D"/>
    <w:rsid w:val="52F64812"/>
    <w:rsid w:val="5306292A"/>
    <w:rsid w:val="530822C8"/>
    <w:rsid w:val="533E1E81"/>
    <w:rsid w:val="536F3F83"/>
    <w:rsid w:val="53703E8D"/>
    <w:rsid w:val="53707DDE"/>
    <w:rsid w:val="537334C7"/>
    <w:rsid w:val="537E0058"/>
    <w:rsid w:val="53950AA6"/>
    <w:rsid w:val="53A8102E"/>
    <w:rsid w:val="53C502CE"/>
    <w:rsid w:val="53D02F55"/>
    <w:rsid w:val="53E12D9E"/>
    <w:rsid w:val="53E64B1C"/>
    <w:rsid w:val="53E8652B"/>
    <w:rsid w:val="53EB486A"/>
    <w:rsid w:val="53EE67E9"/>
    <w:rsid w:val="53FD1C03"/>
    <w:rsid w:val="54020BC2"/>
    <w:rsid w:val="540310FA"/>
    <w:rsid w:val="54037045"/>
    <w:rsid w:val="540817F6"/>
    <w:rsid w:val="54270E2A"/>
    <w:rsid w:val="543E515D"/>
    <w:rsid w:val="543F413B"/>
    <w:rsid w:val="544B0D54"/>
    <w:rsid w:val="54591CDE"/>
    <w:rsid w:val="54625354"/>
    <w:rsid w:val="54984A43"/>
    <w:rsid w:val="54B55CE3"/>
    <w:rsid w:val="54BA614C"/>
    <w:rsid w:val="54C557E7"/>
    <w:rsid w:val="54C65EC0"/>
    <w:rsid w:val="54D43100"/>
    <w:rsid w:val="552760F6"/>
    <w:rsid w:val="552A09F4"/>
    <w:rsid w:val="5532296D"/>
    <w:rsid w:val="555154EE"/>
    <w:rsid w:val="558F4A1E"/>
    <w:rsid w:val="55942252"/>
    <w:rsid w:val="55987FBD"/>
    <w:rsid w:val="55B41C64"/>
    <w:rsid w:val="55CB0EA2"/>
    <w:rsid w:val="55EC2897"/>
    <w:rsid w:val="55F157AA"/>
    <w:rsid w:val="55FA242D"/>
    <w:rsid w:val="5630640C"/>
    <w:rsid w:val="5652511E"/>
    <w:rsid w:val="56543A0D"/>
    <w:rsid w:val="565C0156"/>
    <w:rsid w:val="566B50BC"/>
    <w:rsid w:val="569E1AC8"/>
    <w:rsid w:val="56A4132F"/>
    <w:rsid w:val="56AC279F"/>
    <w:rsid w:val="56AF2E6F"/>
    <w:rsid w:val="56DF0963"/>
    <w:rsid w:val="56E2575C"/>
    <w:rsid w:val="56F37D3E"/>
    <w:rsid w:val="56F473C0"/>
    <w:rsid w:val="56FD3D8C"/>
    <w:rsid w:val="57065F83"/>
    <w:rsid w:val="57097BE4"/>
    <w:rsid w:val="570B6550"/>
    <w:rsid w:val="57196157"/>
    <w:rsid w:val="57484C26"/>
    <w:rsid w:val="5758628A"/>
    <w:rsid w:val="57685DFD"/>
    <w:rsid w:val="57745BB6"/>
    <w:rsid w:val="57855787"/>
    <w:rsid w:val="578A1BF3"/>
    <w:rsid w:val="57B02739"/>
    <w:rsid w:val="57BD6C04"/>
    <w:rsid w:val="57C51573"/>
    <w:rsid w:val="57D6036B"/>
    <w:rsid w:val="57D6484A"/>
    <w:rsid w:val="57DE28CC"/>
    <w:rsid w:val="57FF606E"/>
    <w:rsid w:val="580716CC"/>
    <w:rsid w:val="58220A26"/>
    <w:rsid w:val="58381DBD"/>
    <w:rsid w:val="58394C38"/>
    <w:rsid w:val="58423CCA"/>
    <w:rsid w:val="58446DBA"/>
    <w:rsid w:val="584B7C06"/>
    <w:rsid w:val="58510290"/>
    <w:rsid w:val="58553705"/>
    <w:rsid w:val="5855370B"/>
    <w:rsid w:val="58590F71"/>
    <w:rsid w:val="58932063"/>
    <w:rsid w:val="58B31DD9"/>
    <w:rsid w:val="58B91125"/>
    <w:rsid w:val="58C07443"/>
    <w:rsid w:val="58C64CF3"/>
    <w:rsid w:val="58CB3B78"/>
    <w:rsid w:val="58D21B64"/>
    <w:rsid w:val="590D2328"/>
    <w:rsid w:val="590F51DD"/>
    <w:rsid w:val="59232C0B"/>
    <w:rsid w:val="593A62F9"/>
    <w:rsid w:val="593E4EE7"/>
    <w:rsid w:val="594D06B7"/>
    <w:rsid w:val="598D03EC"/>
    <w:rsid w:val="598D7696"/>
    <w:rsid w:val="599C0038"/>
    <w:rsid w:val="59C43D4D"/>
    <w:rsid w:val="59C83A39"/>
    <w:rsid w:val="59CD0FC2"/>
    <w:rsid w:val="59FB18DA"/>
    <w:rsid w:val="5A261DCD"/>
    <w:rsid w:val="5A361544"/>
    <w:rsid w:val="5A3F108A"/>
    <w:rsid w:val="5A5B363C"/>
    <w:rsid w:val="5A6D76C0"/>
    <w:rsid w:val="5A723A0D"/>
    <w:rsid w:val="5A762255"/>
    <w:rsid w:val="5A833B0D"/>
    <w:rsid w:val="5A9D621A"/>
    <w:rsid w:val="5AB17106"/>
    <w:rsid w:val="5AC219D6"/>
    <w:rsid w:val="5ACF40CD"/>
    <w:rsid w:val="5AFD3B96"/>
    <w:rsid w:val="5B097B76"/>
    <w:rsid w:val="5B0C640C"/>
    <w:rsid w:val="5B2D305D"/>
    <w:rsid w:val="5B350A21"/>
    <w:rsid w:val="5B443E9C"/>
    <w:rsid w:val="5B620B4F"/>
    <w:rsid w:val="5B707739"/>
    <w:rsid w:val="5B956906"/>
    <w:rsid w:val="5BCD5911"/>
    <w:rsid w:val="5BCE4EA4"/>
    <w:rsid w:val="5BD209C4"/>
    <w:rsid w:val="5BD637EC"/>
    <w:rsid w:val="5BDE5A43"/>
    <w:rsid w:val="5BE0323A"/>
    <w:rsid w:val="5C1B7F5F"/>
    <w:rsid w:val="5C34166A"/>
    <w:rsid w:val="5C4A36B7"/>
    <w:rsid w:val="5C4E44D4"/>
    <w:rsid w:val="5C5552A6"/>
    <w:rsid w:val="5C975F8A"/>
    <w:rsid w:val="5CD7479C"/>
    <w:rsid w:val="5CE536CF"/>
    <w:rsid w:val="5CE568F8"/>
    <w:rsid w:val="5CF2493D"/>
    <w:rsid w:val="5CF33064"/>
    <w:rsid w:val="5D0576C4"/>
    <w:rsid w:val="5D230368"/>
    <w:rsid w:val="5D255730"/>
    <w:rsid w:val="5D5667E0"/>
    <w:rsid w:val="5D580881"/>
    <w:rsid w:val="5D6261CB"/>
    <w:rsid w:val="5DA13534"/>
    <w:rsid w:val="5DCB56EC"/>
    <w:rsid w:val="5DE448D2"/>
    <w:rsid w:val="5DF441FF"/>
    <w:rsid w:val="5E1463C6"/>
    <w:rsid w:val="5E285722"/>
    <w:rsid w:val="5E3B4D31"/>
    <w:rsid w:val="5E3E65D1"/>
    <w:rsid w:val="5E4B7A1D"/>
    <w:rsid w:val="5E50050F"/>
    <w:rsid w:val="5E5D04EF"/>
    <w:rsid w:val="5E68591D"/>
    <w:rsid w:val="5E6E3128"/>
    <w:rsid w:val="5E731D18"/>
    <w:rsid w:val="5E742249"/>
    <w:rsid w:val="5E9E597C"/>
    <w:rsid w:val="5EA97C8F"/>
    <w:rsid w:val="5EE437F5"/>
    <w:rsid w:val="5F0936DE"/>
    <w:rsid w:val="5F171517"/>
    <w:rsid w:val="5F2E2A8A"/>
    <w:rsid w:val="5F414056"/>
    <w:rsid w:val="5F5168E0"/>
    <w:rsid w:val="5F62295E"/>
    <w:rsid w:val="5F7D16C2"/>
    <w:rsid w:val="5F892553"/>
    <w:rsid w:val="5FAB77AE"/>
    <w:rsid w:val="5FB301BB"/>
    <w:rsid w:val="5FBF00D5"/>
    <w:rsid w:val="5FF32A3B"/>
    <w:rsid w:val="600A6271"/>
    <w:rsid w:val="60357E4D"/>
    <w:rsid w:val="6046706E"/>
    <w:rsid w:val="60492B3E"/>
    <w:rsid w:val="60565E64"/>
    <w:rsid w:val="6089047C"/>
    <w:rsid w:val="608D4CE3"/>
    <w:rsid w:val="60A859A2"/>
    <w:rsid w:val="60AB29AA"/>
    <w:rsid w:val="60AC67BD"/>
    <w:rsid w:val="60C06489"/>
    <w:rsid w:val="60CE2A0E"/>
    <w:rsid w:val="61204933"/>
    <w:rsid w:val="612354B4"/>
    <w:rsid w:val="61351A56"/>
    <w:rsid w:val="613F62A8"/>
    <w:rsid w:val="61415F87"/>
    <w:rsid w:val="614963EE"/>
    <w:rsid w:val="615A223E"/>
    <w:rsid w:val="615B47A6"/>
    <w:rsid w:val="616435A6"/>
    <w:rsid w:val="619940E6"/>
    <w:rsid w:val="61A6014E"/>
    <w:rsid w:val="61D63921"/>
    <w:rsid w:val="61DB724C"/>
    <w:rsid w:val="61F439C5"/>
    <w:rsid w:val="61F443E9"/>
    <w:rsid w:val="62213533"/>
    <w:rsid w:val="62270D05"/>
    <w:rsid w:val="62305F95"/>
    <w:rsid w:val="62461BF2"/>
    <w:rsid w:val="62607426"/>
    <w:rsid w:val="62867444"/>
    <w:rsid w:val="629D7EE8"/>
    <w:rsid w:val="62BC1814"/>
    <w:rsid w:val="62C73A65"/>
    <w:rsid w:val="62D50998"/>
    <w:rsid w:val="62E7507D"/>
    <w:rsid w:val="62F67597"/>
    <w:rsid w:val="630C34D0"/>
    <w:rsid w:val="631E48B7"/>
    <w:rsid w:val="6322080B"/>
    <w:rsid w:val="635F6BBD"/>
    <w:rsid w:val="638F7AFC"/>
    <w:rsid w:val="639215D8"/>
    <w:rsid w:val="63A36BE5"/>
    <w:rsid w:val="63C04B8A"/>
    <w:rsid w:val="63D42229"/>
    <w:rsid w:val="63D8474D"/>
    <w:rsid w:val="63DB746A"/>
    <w:rsid w:val="63E5033D"/>
    <w:rsid w:val="63EE162B"/>
    <w:rsid w:val="63F75B8A"/>
    <w:rsid w:val="64003199"/>
    <w:rsid w:val="640310C7"/>
    <w:rsid w:val="64155C8D"/>
    <w:rsid w:val="641B0760"/>
    <w:rsid w:val="641E1DE4"/>
    <w:rsid w:val="64203CB4"/>
    <w:rsid w:val="64222857"/>
    <w:rsid w:val="64335EB1"/>
    <w:rsid w:val="64383A64"/>
    <w:rsid w:val="64433CD0"/>
    <w:rsid w:val="64495F72"/>
    <w:rsid w:val="644B25BC"/>
    <w:rsid w:val="647F6D16"/>
    <w:rsid w:val="6498217B"/>
    <w:rsid w:val="64987FF4"/>
    <w:rsid w:val="64D0513C"/>
    <w:rsid w:val="64EB1866"/>
    <w:rsid w:val="64F702F2"/>
    <w:rsid w:val="651424EE"/>
    <w:rsid w:val="651E67EB"/>
    <w:rsid w:val="65257BC1"/>
    <w:rsid w:val="65287A29"/>
    <w:rsid w:val="65537EF9"/>
    <w:rsid w:val="655E1155"/>
    <w:rsid w:val="655F4773"/>
    <w:rsid w:val="65636455"/>
    <w:rsid w:val="6590252A"/>
    <w:rsid w:val="65A240BE"/>
    <w:rsid w:val="65A273A9"/>
    <w:rsid w:val="65AE5114"/>
    <w:rsid w:val="65B61DD9"/>
    <w:rsid w:val="65BB5075"/>
    <w:rsid w:val="65C76D0B"/>
    <w:rsid w:val="65CB5A52"/>
    <w:rsid w:val="65D23BC4"/>
    <w:rsid w:val="66222BC0"/>
    <w:rsid w:val="662861DC"/>
    <w:rsid w:val="66286B79"/>
    <w:rsid w:val="66306F43"/>
    <w:rsid w:val="66326E97"/>
    <w:rsid w:val="663F4723"/>
    <w:rsid w:val="664615E7"/>
    <w:rsid w:val="665265F4"/>
    <w:rsid w:val="66943E18"/>
    <w:rsid w:val="6699652A"/>
    <w:rsid w:val="66A93110"/>
    <w:rsid w:val="66AC664F"/>
    <w:rsid w:val="66AF2B2C"/>
    <w:rsid w:val="66D14104"/>
    <w:rsid w:val="66DC3EF7"/>
    <w:rsid w:val="66DE561C"/>
    <w:rsid w:val="66F0190D"/>
    <w:rsid w:val="67064E16"/>
    <w:rsid w:val="672833FF"/>
    <w:rsid w:val="67447CAA"/>
    <w:rsid w:val="67603184"/>
    <w:rsid w:val="676569B0"/>
    <w:rsid w:val="676E53AF"/>
    <w:rsid w:val="6772565E"/>
    <w:rsid w:val="679C72E6"/>
    <w:rsid w:val="679D7D9D"/>
    <w:rsid w:val="67A16316"/>
    <w:rsid w:val="67B52945"/>
    <w:rsid w:val="67B84A87"/>
    <w:rsid w:val="67D5396B"/>
    <w:rsid w:val="67E24A58"/>
    <w:rsid w:val="67E967D4"/>
    <w:rsid w:val="67EA1DE2"/>
    <w:rsid w:val="67F51F5D"/>
    <w:rsid w:val="681C0F9C"/>
    <w:rsid w:val="68280A59"/>
    <w:rsid w:val="685448E5"/>
    <w:rsid w:val="68567ADB"/>
    <w:rsid w:val="685A52F7"/>
    <w:rsid w:val="686301D2"/>
    <w:rsid w:val="686F32ED"/>
    <w:rsid w:val="68763CFB"/>
    <w:rsid w:val="68775B46"/>
    <w:rsid w:val="68AB1911"/>
    <w:rsid w:val="68AC7864"/>
    <w:rsid w:val="68BD141F"/>
    <w:rsid w:val="68C2312F"/>
    <w:rsid w:val="68CC74D0"/>
    <w:rsid w:val="68DD058C"/>
    <w:rsid w:val="68E84B74"/>
    <w:rsid w:val="68F97892"/>
    <w:rsid w:val="690300E6"/>
    <w:rsid w:val="691F004A"/>
    <w:rsid w:val="692563EE"/>
    <w:rsid w:val="692D6BB4"/>
    <w:rsid w:val="693D18C5"/>
    <w:rsid w:val="69456602"/>
    <w:rsid w:val="6965727E"/>
    <w:rsid w:val="69785369"/>
    <w:rsid w:val="69C62E9A"/>
    <w:rsid w:val="69D9569F"/>
    <w:rsid w:val="69F076EC"/>
    <w:rsid w:val="6A0C4C59"/>
    <w:rsid w:val="6A0C7811"/>
    <w:rsid w:val="6A0E77F1"/>
    <w:rsid w:val="6A3001E9"/>
    <w:rsid w:val="6A55161C"/>
    <w:rsid w:val="6A65568E"/>
    <w:rsid w:val="6A8213EE"/>
    <w:rsid w:val="6A9553FE"/>
    <w:rsid w:val="6AC30E38"/>
    <w:rsid w:val="6ADB66AC"/>
    <w:rsid w:val="6ADD74FD"/>
    <w:rsid w:val="6B254070"/>
    <w:rsid w:val="6B3816B9"/>
    <w:rsid w:val="6B570F9E"/>
    <w:rsid w:val="6B704D44"/>
    <w:rsid w:val="6B7A4A17"/>
    <w:rsid w:val="6B7F1BF6"/>
    <w:rsid w:val="6B9512FD"/>
    <w:rsid w:val="6BA7070C"/>
    <w:rsid w:val="6BB554FE"/>
    <w:rsid w:val="6BB87BB7"/>
    <w:rsid w:val="6BC12EDC"/>
    <w:rsid w:val="6BE255D8"/>
    <w:rsid w:val="6BE76A97"/>
    <w:rsid w:val="6BF056A3"/>
    <w:rsid w:val="6BF43FAF"/>
    <w:rsid w:val="6BFB78C8"/>
    <w:rsid w:val="6C1363EA"/>
    <w:rsid w:val="6C1F175D"/>
    <w:rsid w:val="6C3E480C"/>
    <w:rsid w:val="6C4A348A"/>
    <w:rsid w:val="6C4A4478"/>
    <w:rsid w:val="6C5002D5"/>
    <w:rsid w:val="6C777224"/>
    <w:rsid w:val="6C83219C"/>
    <w:rsid w:val="6C833B41"/>
    <w:rsid w:val="6C9803A4"/>
    <w:rsid w:val="6CD323B8"/>
    <w:rsid w:val="6CF33107"/>
    <w:rsid w:val="6CFC0F53"/>
    <w:rsid w:val="6D243939"/>
    <w:rsid w:val="6D3125B4"/>
    <w:rsid w:val="6D36200B"/>
    <w:rsid w:val="6D447778"/>
    <w:rsid w:val="6D4A5F2F"/>
    <w:rsid w:val="6D620170"/>
    <w:rsid w:val="6D777E6B"/>
    <w:rsid w:val="6D84645E"/>
    <w:rsid w:val="6D8F437E"/>
    <w:rsid w:val="6D990245"/>
    <w:rsid w:val="6D997573"/>
    <w:rsid w:val="6DA026C8"/>
    <w:rsid w:val="6DB46943"/>
    <w:rsid w:val="6DC62455"/>
    <w:rsid w:val="6DED42F9"/>
    <w:rsid w:val="6E035FBA"/>
    <w:rsid w:val="6E123F60"/>
    <w:rsid w:val="6E5231A4"/>
    <w:rsid w:val="6E5A40EE"/>
    <w:rsid w:val="6E671D27"/>
    <w:rsid w:val="6E7D48F4"/>
    <w:rsid w:val="6E8A64FD"/>
    <w:rsid w:val="6E9C16AF"/>
    <w:rsid w:val="6E9D390D"/>
    <w:rsid w:val="6EE10B05"/>
    <w:rsid w:val="6F0472BB"/>
    <w:rsid w:val="6F206808"/>
    <w:rsid w:val="6F537CC8"/>
    <w:rsid w:val="6F5B3B07"/>
    <w:rsid w:val="6F6000F3"/>
    <w:rsid w:val="6F7A7501"/>
    <w:rsid w:val="6FAB7D95"/>
    <w:rsid w:val="6FAD23B4"/>
    <w:rsid w:val="6FAD5E72"/>
    <w:rsid w:val="6FBD7D61"/>
    <w:rsid w:val="6FC42EAB"/>
    <w:rsid w:val="6FD101F3"/>
    <w:rsid w:val="6FE54985"/>
    <w:rsid w:val="6FE60FC7"/>
    <w:rsid w:val="6FE856E7"/>
    <w:rsid w:val="6FEC7554"/>
    <w:rsid w:val="6FF1283A"/>
    <w:rsid w:val="6FF4469C"/>
    <w:rsid w:val="6FF77C50"/>
    <w:rsid w:val="6FF90C4A"/>
    <w:rsid w:val="70563262"/>
    <w:rsid w:val="705873A3"/>
    <w:rsid w:val="709910D5"/>
    <w:rsid w:val="709B4AFB"/>
    <w:rsid w:val="70D216D3"/>
    <w:rsid w:val="71534AAE"/>
    <w:rsid w:val="716C54B9"/>
    <w:rsid w:val="717C638C"/>
    <w:rsid w:val="719B216D"/>
    <w:rsid w:val="71A40936"/>
    <w:rsid w:val="71B752EE"/>
    <w:rsid w:val="71C66F16"/>
    <w:rsid w:val="71DB12A7"/>
    <w:rsid w:val="72106F1F"/>
    <w:rsid w:val="722D57C7"/>
    <w:rsid w:val="724062B5"/>
    <w:rsid w:val="724A0704"/>
    <w:rsid w:val="724F46F0"/>
    <w:rsid w:val="7255143F"/>
    <w:rsid w:val="726436E6"/>
    <w:rsid w:val="72700C83"/>
    <w:rsid w:val="727870BC"/>
    <w:rsid w:val="727E6483"/>
    <w:rsid w:val="728453D5"/>
    <w:rsid w:val="72935827"/>
    <w:rsid w:val="729B6C7B"/>
    <w:rsid w:val="729B79DD"/>
    <w:rsid w:val="72A96531"/>
    <w:rsid w:val="72B6163B"/>
    <w:rsid w:val="72BB1BA7"/>
    <w:rsid w:val="72D051AC"/>
    <w:rsid w:val="72D05F60"/>
    <w:rsid w:val="72ED426C"/>
    <w:rsid w:val="72F91A90"/>
    <w:rsid w:val="73073B1B"/>
    <w:rsid w:val="731C314C"/>
    <w:rsid w:val="732927A3"/>
    <w:rsid w:val="734333B2"/>
    <w:rsid w:val="73637990"/>
    <w:rsid w:val="73B02110"/>
    <w:rsid w:val="73CE0E30"/>
    <w:rsid w:val="73F95D4E"/>
    <w:rsid w:val="74044161"/>
    <w:rsid w:val="74194164"/>
    <w:rsid w:val="741C0ACA"/>
    <w:rsid w:val="742D6B25"/>
    <w:rsid w:val="744446C4"/>
    <w:rsid w:val="74524A6C"/>
    <w:rsid w:val="745D46B6"/>
    <w:rsid w:val="747E2170"/>
    <w:rsid w:val="74994FF2"/>
    <w:rsid w:val="74A93ADB"/>
    <w:rsid w:val="74AB764B"/>
    <w:rsid w:val="74BA0C6B"/>
    <w:rsid w:val="74BB501E"/>
    <w:rsid w:val="74C03BE2"/>
    <w:rsid w:val="74EE31EA"/>
    <w:rsid w:val="74FA202A"/>
    <w:rsid w:val="74FA2880"/>
    <w:rsid w:val="75225CBF"/>
    <w:rsid w:val="75350693"/>
    <w:rsid w:val="75371C19"/>
    <w:rsid w:val="7546677D"/>
    <w:rsid w:val="7548684B"/>
    <w:rsid w:val="754B2AC0"/>
    <w:rsid w:val="754D466C"/>
    <w:rsid w:val="754F4CC4"/>
    <w:rsid w:val="756E0B0A"/>
    <w:rsid w:val="757031D9"/>
    <w:rsid w:val="75750081"/>
    <w:rsid w:val="75814167"/>
    <w:rsid w:val="75842DFC"/>
    <w:rsid w:val="75A667A1"/>
    <w:rsid w:val="75B9416A"/>
    <w:rsid w:val="75BE0722"/>
    <w:rsid w:val="75C247F2"/>
    <w:rsid w:val="75CD7BB5"/>
    <w:rsid w:val="763255D2"/>
    <w:rsid w:val="76437D02"/>
    <w:rsid w:val="764F1267"/>
    <w:rsid w:val="765120A6"/>
    <w:rsid w:val="76752AAE"/>
    <w:rsid w:val="767F05D4"/>
    <w:rsid w:val="76807564"/>
    <w:rsid w:val="76BF7D3D"/>
    <w:rsid w:val="76C52AEB"/>
    <w:rsid w:val="76D264D4"/>
    <w:rsid w:val="76E955C3"/>
    <w:rsid w:val="76FD43AC"/>
    <w:rsid w:val="77123ACC"/>
    <w:rsid w:val="77181A42"/>
    <w:rsid w:val="771E16D3"/>
    <w:rsid w:val="77247924"/>
    <w:rsid w:val="772B1B20"/>
    <w:rsid w:val="77510935"/>
    <w:rsid w:val="77634F3B"/>
    <w:rsid w:val="77C522CE"/>
    <w:rsid w:val="77D36332"/>
    <w:rsid w:val="77D47475"/>
    <w:rsid w:val="77D62A56"/>
    <w:rsid w:val="77E62733"/>
    <w:rsid w:val="77F84B71"/>
    <w:rsid w:val="780E1955"/>
    <w:rsid w:val="78293DC3"/>
    <w:rsid w:val="782D2D9B"/>
    <w:rsid w:val="783A6B2F"/>
    <w:rsid w:val="783F4F70"/>
    <w:rsid w:val="785B4C20"/>
    <w:rsid w:val="785D218D"/>
    <w:rsid w:val="78AB4E34"/>
    <w:rsid w:val="78B8567C"/>
    <w:rsid w:val="78F7615B"/>
    <w:rsid w:val="78FD2962"/>
    <w:rsid w:val="79307089"/>
    <w:rsid w:val="79373219"/>
    <w:rsid w:val="794A4288"/>
    <w:rsid w:val="794C7980"/>
    <w:rsid w:val="7954036F"/>
    <w:rsid w:val="7963139E"/>
    <w:rsid w:val="798B23A6"/>
    <w:rsid w:val="79981FE8"/>
    <w:rsid w:val="79A86542"/>
    <w:rsid w:val="79BE5E62"/>
    <w:rsid w:val="79D00261"/>
    <w:rsid w:val="79D72059"/>
    <w:rsid w:val="79EC33C3"/>
    <w:rsid w:val="7A1C1793"/>
    <w:rsid w:val="7A1C4DC7"/>
    <w:rsid w:val="7A2769D9"/>
    <w:rsid w:val="7A2E73B3"/>
    <w:rsid w:val="7A3A078E"/>
    <w:rsid w:val="7A45124E"/>
    <w:rsid w:val="7A4C7BCA"/>
    <w:rsid w:val="7A7F307F"/>
    <w:rsid w:val="7A850292"/>
    <w:rsid w:val="7A864059"/>
    <w:rsid w:val="7A991285"/>
    <w:rsid w:val="7AAC03BC"/>
    <w:rsid w:val="7AB2157C"/>
    <w:rsid w:val="7AC179AB"/>
    <w:rsid w:val="7AC528C4"/>
    <w:rsid w:val="7ACE4545"/>
    <w:rsid w:val="7AE80992"/>
    <w:rsid w:val="7AE9752E"/>
    <w:rsid w:val="7AEC1055"/>
    <w:rsid w:val="7AF51135"/>
    <w:rsid w:val="7AFE078F"/>
    <w:rsid w:val="7B0320BB"/>
    <w:rsid w:val="7B1E76B6"/>
    <w:rsid w:val="7B5204F9"/>
    <w:rsid w:val="7B6E3852"/>
    <w:rsid w:val="7B745405"/>
    <w:rsid w:val="7B780677"/>
    <w:rsid w:val="7B9C23E8"/>
    <w:rsid w:val="7BAE3A12"/>
    <w:rsid w:val="7BCD7043"/>
    <w:rsid w:val="7BDA2B39"/>
    <w:rsid w:val="7BDF7110"/>
    <w:rsid w:val="7C274E7E"/>
    <w:rsid w:val="7C280E42"/>
    <w:rsid w:val="7C7F4F3C"/>
    <w:rsid w:val="7C9C55B4"/>
    <w:rsid w:val="7CA544A2"/>
    <w:rsid w:val="7CB347D7"/>
    <w:rsid w:val="7CCD67D7"/>
    <w:rsid w:val="7CE21673"/>
    <w:rsid w:val="7CE2570E"/>
    <w:rsid w:val="7CF45745"/>
    <w:rsid w:val="7D393FED"/>
    <w:rsid w:val="7D4033FD"/>
    <w:rsid w:val="7D4D307B"/>
    <w:rsid w:val="7D4D5856"/>
    <w:rsid w:val="7D537A55"/>
    <w:rsid w:val="7D540062"/>
    <w:rsid w:val="7D737A9C"/>
    <w:rsid w:val="7DAA16F6"/>
    <w:rsid w:val="7DE14EF9"/>
    <w:rsid w:val="7E183EEA"/>
    <w:rsid w:val="7E440B2B"/>
    <w:rsid w:val="7E4A22B2"/>
    <w:rsid w:val="7E4F61B6"/>
    <w:rsid w:val="7E6752B6"/>
    <w:rsid w:val="7E717A7B"/>
    <w:rsid w:val="7E80292D"/>
    <w:rsid w:val="7E84382C"/>
    <w:rsid w:val="7E855AE7"/>
    <w:rsid w:val="7E9D718F"/>
    <w:rsid w:val="7EA7411B"/>
    <w:rsid w:val="7EA874D5"/>
    <w:rsid w:val="7EAA0221"/>
    <w:rsid w:val="7EB02A3C"/>
    <w:rsid w:val="7EB714C1"/>
    <w:rsid w:val="7ED326C7"/>
    <w:rsid w:val="7EFB70B7"/>
    <w:rsid w:val="7F0A6F2E"/>
    <w:rsid w:val="7F21551C"/>
    <w:rsid w:val="7F251450"/>
    <w:rsid w:val="7F381A47"/>
    <w:rsid w:val="7F3932D6"/>
    <w:rsid w:val="7F3B3199"/>
    <w:rsid w:val="7F3D07F6"/>
    <w:rsid w:val="7F4D23DA"/>
    <w:rsid w:val="7F613C7E"/>
    <w:rsid w:val="7F666046"/>
    <w:rsid w:val="7F827F3A"/>
    <w:rsid w:val="7F912BF1"/>
    <w:rsid w:val="7FA4150B"/>
    <w:rsid w:val="7FCC65E5"/>
    <w:rsid w:val="7FED79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PMingLiU"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annotation text"/>
    <w:basedOn w:val="1"/>
    <w:qFormat/>
    <w:uiPriority w:val="0"/>
    <w:pPr>
      <w:jc w:val="left"/>
    </w:pPr>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1"/>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paragraph" w:styleId="29">
    <w:name w:val="Normal (Web)"/>
    <w:basedOn w:val="1"/>
    <w:qFormat/>
    <w:uiPriority w:val="0"/>
    <w:rPr>
      <w:sz w:val="24"/>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basedOn w:val="32"/>
    <w:semiHidden/>
    <w:qFormat/>
    <w:uiPriority w:val="0"/>
  </w:style>
  <w:style w:type="character" w:styleId="34">
    <w:name w:val="FollowedHyperlink"/>
    <w:basedOn w:val="32"/>
    <w:qFormat/>
    <w:uiPriority w:val="0"/>
    <w:rPr>
      <w:color w:val="954F72" w:themeColor="followedHyperlink"/>
      <w:u w:val="single"/>
      <w14:textFill>
        <w14:solidFill>
          <w14:schemeClr w14:val="folHlink"/>
        </w14:solidFill>
      </w14:textFill>
    </w:rPr>
  </w:style>
  <w:style w:type="character" w:styleId="35">
    <w:name w:val="Hyperlink"/>
    <w:basedOn w:val="32"/>
    <w:qFormat/>
    <w:uiPriority w:val="0"/>
    <w:rPr>
      <w:color w:val="0563C1" w:themeColor="hyperlink"/>
      <w:u w:val="single"/>
      <w14:textFill>
        <w14:solidFill>
          <w14:schemeClr w14:val="hlink"/>
        </w14:solidFill>
      </w14:textFill>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3">
    <w:name w:val="TAR"/>
    <w:basedOn w:val="44"/>
    <w:qFormat/>
    <w:uiPriority w:val="0"/>
    <w:pPr>
      <w:jc w:val="right"/>
    </w:pPr>
  </w:style>
  <w:style w:type="paragraph" w:customStyle="1" w:styleId="44">
    <w:name w:val="TAL"/>
    <w:basedOn w:val="1"/>
    <w:qFormat/>
    <w:uiPriority w:val="0"/>
    <w:pPr>
      <w:keepNext/>
      <w:keepLines/>
      <w:spacing w:after="0"/>
    </w:pPr>
    <w:rPr>
      <w:rFonts w:ascii="Arial" w:hAnsi="Arial"/>
      <w:sz w:val="18"/>
    </w:rPr>
  </w:style>
  <w:style w:type="paragraph" w:customStyle="1" w:styleId="45">
    <w:name w:val="TAH"/>
    <w:basedOn w:val="46"/>
    <w:qFormat/>
    <w:uiPriority w:val="0"/>
    <w:rPr>
      <w:b/>
    </w:rPr>
  </w:style>
  <w:style w:type="paragraph" w:customStyle="1" w:styleId="46">
    <w:name w:val="TAC"/>
    <w:basedOn w:val="44"/>
    <w:qFormat/>
    <w:uiPriority w:val="0"/>
    <w:pPr>
      <w:jc w:val="center"/>
    </w:pPr>
  </w:style>
  <w:style w:type="paragraph" w:customStyle="1" w:styleId="4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23"/>
    <w:qFormat/>
    <w:uiPriority w:val="0"/>
    <w:pPr>
      <w:ind w:left="568" w:hanging="284"/>
    </w:pPr>
  </w:style>
  <w:style w:type="paragraph" w:customStyle="1" w:styleId="53">
    <w:name w:val="Editor's Note"/>
    <w:basedOn w:val="41"/>
    <w:qFormat/>
    <w:uiPriority w:val="0"/>
    <w:rPr>
      <w:color w:val="FF0000"/>
    </w:r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3">
    <w:name w:val="B2"/>
    <w:basedOn w:val="22"/>
    <w:qFormat/>
    <w:uiPriority w:val="0"/>
    <w:pPr>
      <w:ind w:left="851" w:hanging="284"/>
    </w:pPr>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Balloon Text Char"/>
    <w:link w:val="25"/>
    <w:qFormat/>
    <w:uiPriority w:val="0"/>
    <w:rPr>
      <w:rFonts w:ascii="Segoe UI" w:hAnsi="Segoe UI" w:cs="Segoe UI"/>
      <w:sz w:val="18"/>
      <w:szCs w:val="18"/>
      <w:lang w:eastAsia="en-US"/>
    </w:rPr>
  </w:style>
  <w:style w:type="character" w:customStyle="1" w:styleId="72">
    <w:name w:val="Unresolved Mention"/>
    <w:basedOn w:val="32"/>
    <w:semiHidden/>
    <w:unhideWhenUsed/>
    <w:qFormat/>
    <w:uiPriority w:val="99"/>
    <w:rPr>
      <w:color w:val="605E5C"/>
      <w:shd w:val="clear" w:color="auto" w:fill="E1DFDD"/>
    </w:rPr>
  </w:style>
  <w:style w:type="paragraph" w:styleId="73">
    <w:name w:val="List Paragraph"/>
    <w:basedOn w:val="1"/>
    <w:link w:val="74"/>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4">
    <w:name w:val="List Paragraph Char"/>
    <w:link w:val="73"/>
    <w:qFormat/>
    <w:locked/>
    <w:uiPriority w:val="34"/>
    <w:rPr>
      <w:rFonts w:asciiTheme="minorHAnsi" w:hAnsiTheme="minorHAnsi" w:eastAsiaTheme="minorHAnsi" w:cstheme="minorBidi"/>
      <w:sz w:val="22"/>
      <w:szCs w:val="22"/>
      <w:lang w:val="sv-SE" w:eastAsia="en-US"/>
    </w:rPr>
  </w:style>
  <w:style w:type="paragraph" w:customStyle="1" w:styleId="75">
    <w:name w:val="CR Cover Page"/>
    <w:link w:val="76"/>
    <w:qFormat/>
    <w:uiPriority w:val="0"/>
    <w:pPr>
      <w:spacing w:after="120"/>
    </w:pPr>
    <w:rPr>
      <w:rFonts w:ascii="Arial" w:hAnsi="Arial" w:eastAsia="Times New Roman" w:cs="Times New Roman"/>
      <w:lang w:val="en-GB" w:eastAsia="en-US" w:bidi="ar-SA"/>
    </w:rPr>
  </w:style>
  <w:style w:type="character" w:customStyle="1" w:styleId="76">
    <w:name w:val="CR Cover Page Char"/>
    <w:link w:val="75"/>
    <w:qFormat/>
    <w:uiPriority w:val="0"/>
    <w:rPr>
      <w:rFonts w:ascii="Arial" w:hAnsi="Arial"/>
      <w:lang w:eastAsia="en-US"/>
    </w:rPr>
  </w:style>
  <w:style w:type="paragraph" w:customStyle="1" w:styleId="77">
    <w:name w:val="RAN4 H1"/>
    <w:basedOn w:val="1"/>
    <w:next w:val="1"/>
    <w:link w:val="78"/>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8">
    <w:name w:val="RAN4 H1 Char"/>
    <w:basedOn w:val="32"/>
    <w:link w:val="77"/>
    <w:qFormat/>
    <w:uiPriority w:val="0"/>
    <w:rPr>
      <w:rFonts w:ascii="Arial" w:hAnsi="Arial" w:eastAsia="宋体" w:cs="Times New Roman"/>
      <w:sz w:val="36"/>
      <w:szCs w:val="20"/>
      <w:lang w:val="en-GB"/>
    </w:rPr>
  </w:style>
  <w:style w:type="paragraph" w:customStyle="1" w:styleId="79">
    <w:name w:val="RAN4 H2"/>
    <w:basedOn w:val="3"/>
    <w:next w:val="1"/>
    <w:qFormat/>
    <w:uiPriority w:val="0"/>
    <w:pPr>
      <w:numPr>
        <w:ilvl w:val="1"/>
        <w:numId w:val="1"/>
      </w:numPr>
      <w:ind w:left="431" w:hanging="431"/>
    </w:pPr>
    <w:rPr>
      <w:lang w:val="en-US"/>
    </w:rPr>
  </w:style>
  <w:style w:type="paragraph" w:customStyle="1" w:styleId="80">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1">
    <w:name w:val="Reference"/>
    <w:basedOn w:val="1"/>
    <w:qFormat/>
    <w:uiPriority w:val="0"/>
    <w:pPr>
      <w:overflowPunct/>
      <w:autoSpaceDE/>
      <w:autoSpaceDN/>
      <w:adjustRightInd/>
      <w:spacing w:after="0"/>
      <w:ind w:left="567" w:hanging="283"/>
      <w:textAlignment w:val="auto"/>
    </w:pPr>
    <w:rPr>
      <w:lang w:eastAsia="en-GB"/>
    </w:rPr>
  </w:style>
  <w:style w:type="paragraph" w:customStyle="1" w:styleId="82">
    <w:name w:val="正文3"/>
    <w:qFormat/>
    <w:uiPriority w:val="0"/>
    <w:pPr>
      <w:spacing w:before="120" w:after="120"/>
    </w:pPr>
    <w:rPr>
      <w:rFonts w:ascii="Times New Roman" w:hAnsi="Times New Roman" w:eastAsia="等线" w:cs="Times New Roman"/>
      <w:kern w:val="2"/>
      <w:sz w:val="20"/>
      <w:szCs w:val="20"/>
      <w:lang w:val="en-US" w:eastAsia="zh-CN" w:bidi="ar-SA"/>
    </w:rPr>
  </w:style>
  <w:style w:type="character" w:customStyle="1" w:styleId="83">
    <w:name w:val="题注 字符"/>
    <w:basedOn w:val="32"/>
    <w:qFormat/>
    <w:uiPriority w:val="0"/>
    <w:rPr>
      <w:rFonts w:hint="default" w:ascii="Calibri" w:hAnsi="Calibri" w:eastAsia="Calibri" w:cs="Calibri"/>
      <w:b/>
      <w:bCs/>
      <w:sz w:val="22"/>
      <w:szCs w:val="22"/>
      <w:lang w:val="en-US"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1</TotalTime>
  <ScaleCrop>false</ScaleCrop>
  <LinksUpToDate>false</LinksUpToDate>
  <CharactersWithSpaces>1649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meeting-pre</cp:lastModifiedBy>
  <cp:lastPrinted>2019-02-25T14:05:00Z</cp:lastPrinted>
  <dcterms:modified xsi:type="dcterms:W3CDTF">2025-02-07T08:56:56Z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4BAFA7A5694C4C1AABFAE631AD314D65</vt:lpwstr>
  </property>
</Properties>
</file>